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ayout w:type="fixed"/>
        <w:tblLook w:val="04A0" w:firstRow="1" w:lastRow="0" w:firstColumn="1" w:lastColumn="0" w:noHBand="0" w:noVBand="1"/>
      </w:tblPr>
      <w:tblGrid>
        <w:gridCol w:w="818"/>
        <w:gridCol w:w="1585"/>
        <w:gridCol w:w="3829"/>
        <w:gridCol w:w="6663"/>
        <w:gridCol w:w="2493"/>
      </w:tblGrid>
      <w:tr w:rsidR="00B74C8B" w:rsidRPr="006E1A5D" w14:paraId="47B642EE" w14:textId="0554A95D" w:rsidTr="00B74C8B">
        <w:trPr>
          <w:tblHeader/>
        </w:trPr>
        <w:tc>
          <w:tcPr>
            <w:tcW w:w="266" w:type="pct"/>
          </w:tcPr>
          <w:p w14:paraId="08951D22" w14:textId="3619D53C" w:rsidR="0009124A" w:rsidRPr="006E1A5D" w:rsidRDefault="0009124A" w:rsidP="006E1A5D">
            <w:pPr>
              <w:rPr>
                <w:rFonts w:ascii="Aptos Narrow" w:hAnsi="Aptos Narrow"/>
                <w:b/>
                <w:bCs/>
                <w:sz w:val="22"/>
                <w:szCs w:val="22"/>
              </w:rPr>
            </w:pPr>
            <w:proofErr w:type="spellStart"/>
            <w:r w:rsidRPr="006E1A5D">
              <w:rPr>
                <w:rFonts w:ascii="Aptos Narrow" w:hAnsi="Aptos Narrow"/>
                <w:b/>
                <w:bCs/>
                <w:sz w:val="22"/>
                <w:szCs w:val="22"/>
              </w:rPr>
              <w:t>Slno</w:t>
            </w:r>
            <w:proofErr w:type="spellEnd"/>
          </w:p>
        </w:tc>
        <w:tc>
          <w:tcPr>
            <w:tcW w:w="515" w:type="pct"/>
          </w:tcPr>
          <w:p w14:paraId="5B8B5487" w14:textId="6870A31F" w:rsidR="0009124A" w:rsidRPr="006E1A5D" w:rsidRDefault="0009124A" w:rsidP="006E1A5D">
            <w:pPr>
              <w:rPr>
                <w:rFonts w:ascii="Aptos Narrow" w:hAnsi="Aptos Narrow"/>
                <w:b/>
                <w:bCs/>
                <w:sz w:val="22"/>
                <w:szCs w:val="22"/>
              </w:rPr>
            </w:pPr>
            <w:r w:rsidRPr="006E1A5D">
              <w:rPr>
                <w:rFonts w:ascii="Aptos Narrow" w:hAnsi="Aptos Narrow"/>
                <w:b/>
                <w:bCs/>
                <w:sz w:val="22"/>
                <w:szCs w:val="22"/>
              </w:rPr>
              <w:t>Clause Ref</w:t>
            </w:r>
          </w:p>
        </w:tc>
        <w:tc>
          <w:tcPr>
            <w:tcW w:w="1244" w:type="pct"/>
          </w:tcPr>
          <w:p w14:paraId="0B369B35" w14:textId="4B9D6EF1" w:rsidR="0009124A" w:rsidRPr="006E1A5D" w:rsidRDefault="0009124A" w:rsidP="006E1A5D">
            <w:pPr>
              <w:rPr>
                <w:rFonts w:ascii="Aptos Narrow" w:hAnsi="Aptos Narrow"/>
                <w:b/>
                <w:bCs/>
                <w:sz w:val="22"/>
                <w:szCs w:val="22"/>
              </w:rPr>
            </w:pPr>
            <w:r w:rsidRPr="006E1A5D">
              <w:rPr>
                <w:rFonts w:ascii="Aptos Narrow" w:hAnsi="Aptos Narrow"/>
                <w:b/>
                <w:bCs/>
                <w:sz w:val="22"/>
                <w:szCs w:val="22"/>
              </w:rPr>
              <w:t xml:space="preserve">Clause </w:t>
            </w:r>
            <w:r w:rsidR="007D32A6" w:rsidRPr="006E1A5D">
              <w:rPr>
                <w:rFonts w:ascii="Aptos Narrow" w:hAnsi="Aptos Narrow"/>
                <w:b/>
                <w:bCs/>
                <w:sz w:val="22"/>
                <w:szCs w:val="22"/>
              </w:rPr>
              <w:t>/ Subject</w:t>
            </w:r>
          </w:p>
        </w:tc>
        <w:tc>
          <w:tcPr>
            <w:tcW w:w="2165" w:type="pct"/>
          </w:tcPr>
          <w:p w14:paraId="48ED03C4" w14:textId="37B96C4D" w:rsidR="0009124A" w:rsidRPr="006E1A5D" w:rsidRDefault="00405007" w:rsidP="006E1A5D">
            <w:pPr>
              <w:ind w:left="35"/>
              <w:rPr>
                <w:rFonts w:ascii="Aptos Narrow" w:hAnsi="Aptos Narrow"/>
                <w:b/>
                <w:bCs/>
                <w:sz w:val="22"/>
                <w:szCs w:val="22"/>
              </w:rPr>
            </w:pPr>
            <w:r w:rsidRPr="006E1A5D">
              <w:rPr>
                <w:rFonts w:ascii="Aptos Narrow" w:hAnsi="Aptos Narrow"/>
                <w:b/>
                <w:bCs/>
                <w:sz w:val="22"/>
                <w:szCs w:val="22"/>
              </w:rPr>
              <w:t>Bidder’s Query</w:t>
            </w:r>
          </w:p>
        </w:tc>
        <w:tc>
          <w:tcPr>
            <w:tcW w:w="810" w:type="pct"/>
          </w:tcPr>
          <w:p w14:paraId="1BF1F7DB" w14:textId="2CFC0A82" w:rsidR="0009124A" w:rsidRPr="006E1A5D" w:rsidRDefault="0009124A" w:rsidP="006E1A5D">
            <w:pPr>
              <w:rPr>
                <w:rFonts w:ascii="Aptos Narrow" w:hAnsi="Aptos Narrow"/>
                <w:b/>
                <w:bCs/>
                <w:sz w:val="22"/>
                <w:szCs w:val="22"/>
              </w:rPr>
            </w:pPr>
            <w:r w:rsidRPr="006E1A5D">
              <w:rPr>
                <w:rFonts w:ascii="Aptos Narrow" w:hAnsi="Aptos Narrow"/>
                <w:b/>
                <w:bCs/>
                <w:sz w:val="22"/>
                <w:szCs w:val="22"/>
              </w:rPr>
              <w:t>POWERGRID’s Reply</w:t>
            </w:r>
          </w:p>
        </w:tc>
      </w:tr>
      <w:tr w:rsidR="00832717" w:rsidRPr="006E1A5D" w14:paraId="668E7E45" w14:textId="77777777" w:rsidTr="006E1A5D">
        <w:tc>
          <w:tcPr>
            <w:tcW w:w="5000" w:type="pct"/>
            <w:gridSpan w:val="5"/>
          </w:tcPr>
          <w:p w14:paraId="717D14A9" w14:textId="22230337" w:rsidR="00832717" w:rsidRPr="006E1A5D" w:rsidRDefault="00832717" w:rsidP="006E1A5D">
            <w:pPr>
              <w:ind w:left="35"/>
              <w:rPr>
                <w:rFonts w:ascii="Aptos Narrow" w:hAnsi="Aptos Narrow"/>
                <w:b/>
                <w:bCs/>
                <w:sz w:val="22"/>
                <w:szCs w:val="22"/>
              </w:rPr>
            </w:pPr>
            <w:r w:rsidRPr="006E1A5D">
              <w:rPr>
                <w:rFonts w:ascii="Aptos Narrow" w:hAnsi="Aptos Narrow"/>
                <w:b/>
                <w:bCs/>
                <w:sz w:val="22"/>
                <w:szCs w:val="22"/>
              </w:rPr>
              <w:t>Volume-II Technical Specifications</w:t>
            </w:r>
          </w:p>
        </w:tc>
      </w:tr>
      <w:tr w:rsidR="00B74C8B" w:rsidRPr="006E1A5D" w14:paraId="6BD2B845" w14:textId="7B6E99BD" w:rsidTr="00B74C8B">
        <w:tc>
          <w:tcPr>
            <w:tcW w:w="266" w:type="pct"/>
          </w:tcPr>
          <w:p w14:paraId="04316E4B" w14:textId="4497A42C" w:rsidR="00161C1F" w:rsidRPr="006E1A5D" w:rsidRDefault="00161C1F" w:rsidP="006E1A5D">
            <w:pPr>
              <w:pStyle w:val="ListParagraph"/>
              <w:numPr>
                <w:ilvl w:val="0"/>
                <w:numId w:val="2"/>
              </w:numPr>
              <w:ind w:left="360"/>
              <w:rPr>
                <w:rFonts w:ascii="Aptos Narrow" w:hAnsi="Aptos Narrow"/>
                <w:sz w:val="22"/>
                <w:szCs w:val="22"/>
              </w:rPr>
            </w:pPr>
          </w:p>
        </w:tc>
        <w:tc>
          <w:tcPr>
            <w:tcW w:w="515" w:type="pct"/>
          </w:tcPr>
          <w:p w14:paraId="7760EDC3" w14:textId="7BC05D17" w:rsidR="00161C1F" w:rsidRPr="006E1A5D" w:rsidRDefault="00161C1F" w:rsidP="006E1A5D">
            <w:pPr>
              <w:rPr>
                <w:rFonts w:ascii="Aptos Narrow" w:hAnsi="Aptos Narrow"/>
                <w:sz w:val="22"/>
                <w:szCs w:val="22"/>
              </w:rPr>
            </w:pPr>
            <w:r w:rsidRPr="006E1A5D">
              <w:rPr>
                <w:rFonts w:ascii="Aptos Narrow" w:hAnsi="Aptos Narrow"/>
                <w:color w:val="000000"/>
                <w:sz w:val="22"/>
                <w:szCs w:val="22"/>
              </w:rPr>
              <w:t>General</w:t>
            </w:r>
          </w:p>
        </w:tc>
        <w:tc>
          <w:tcPr>
            <w:tcW w:w="1244" w:type="pct"/>
          </w:tcPr>
          <w:p w14:paraId="5C8E4CB9" w14:textId="1849DFE2" w:rsidR="00161C1F" w:rsidRPr="006E1A5D" w:rsidRDefault="00161C1F" w:rsidP="006E1A5D">
            <w:pPr>
              <w:rPr>
                <w:rFonts w:ascii="Aptos Narrow" w:hAnsi="Aptos Narrow"/>
                <w:sz w:val="22"/>
                <w:szCs w:val="22"/>
              </w:rPr>
            </w:pPr>
            <w:r w:rsidRPr="006E1A5D">
              <w:rPr>
                <w:rFonts w:ascii="Aptos Narrow" w:hAnsi="Aptos Narrow"/>
                <w:color w:val="000000"/>
                <w:sz w:val="22"/>
                <w:szCs w:val="22"/>
              </w:rPr>
              <w:t>Surge Arrester data</w:t>
            </w:r>
          </w:p>
        </w:tc>
        <w:tc>
          <w:tcPr>
            <w:tcW w:w="2165" w:type="pct"/>
          </w:tcPr>
          <w:p w14:paraId="5A222AD9" w14:textId="14BCE84E" w:rsidR="00161C1F" w:rsidRPr="006E1A5D" w:rsidRDefault="00161C1F" w:rsidP="006E1A5D">
            <w:pPr>
              <w:ind w:left="35"/>
              <w:rPr>
                <w:rFonts w:ascii="Aptos Narrow" w:hAnsi="Aptos Narrow"/>
                <w:b/>
                <w:bCs/>
                <w:sz w:val="22"/>
                <w:szCs w:val="22"/>
              </w:rPr>
            </w:pPr>
            <w:r w:rsidRPr="006E1A5D">
              <w:rPr>
                <w:rFonts w:ascii="Aptos Narrow" w:hAnsi="Aptos Narrow"/>
                <w:color w:val="000000"/>
                <w:sz w:val="22"/>
                <w:szCs w:val="22"/>
              </w:rPr>
              <w:t>Please note that all the Data regarding insulation coordination, etc, which can affect the LA parameters, shall be provided along with the NOA or within a month from the NOA for GIS LA finalization.</w:t>
            </w:r>
            <w:r w:rsidRPr="006E1A5D">
              <w:rPr>
                <w:rFonts w:ascii="Aptos Narrow" w:hAnsi="Aptos Narrow"/>
                <w:color w:val="000000"/>
                <w:sz w:val="22"/>
                <w:szCs w:val="22"/>
              </w:rPr>
              <w:br/>
            </w:r>
            <w:r w:rsidRPr="006E1A5D">
              <w:rPr>
                <w:rFonts w:ascii="Aptos Narrow" w:hAnsi="Aptos Narrow"/>
                <w:color w:val="000000"/>
                <w:sz w:val="22"/>
                <w:szCs w:val="22"/>
              </w:rPr>
              <w:br/>
              <w:t>Kindly accept the same.</w:t>
            </w:r>
          </w:p>
        </w:tc>
        <w:tc>
          <w:tcPr>
            <w:tcW w:w="810" w:type="pct"/>
          </w:tcPr>
          <w:p w14:paraId="5D0CE8E9" w14:textId="4A2E0782" w:rsidR="00161C1F" w:rsidRPr="006E1A5D" w:rsidRDefault="00161C1F" w:rsidP="006E1A5D">
            <w:pPr>
              <w:rPr>
                <w:rFonts w:ascii="Aptos Narrow" w:hAnsi="Aptos Narrow" w:cs="Calibri"/>
                <w:color w:val="000000"/>
                <w:sz w:val="22"/>
                <w:szCs w:val="22"/>
              </w:rPr>
            </w:pPr>
            <w:r w:rsidRPr="006E1A5D">
              <w:rPr>
                <w:rFonts w:ascii="Aptos Narrow" w:hAnsi="Aptos Narrow"/>
                <w:color w:val="000000"/>
                <w:sz w:val="22"/>
                <w:szCs w:val="22"/>
              </w:rPr>
              <w:t>noted</w:t>
            </w:r>
          </w:p>
        </w:tc>
      </w:tr>
      <w:tr w:rsidR="00B74C8B" w:rsidRPr="006E1A5D" w14:paraId="0757D4CE" w14:textId="77777777" w:rsidTr="00B74C8B">
        <w:tc>
          <w:tcPr>
            <w:tcW w:w="266" w:type="pct"/>
          </w:tcPr>
          <w:p w14:paraId="6C17EC02" w14:textId="77777777" w:rsidR="00161C1F" w:rsidRPr="006E1A5D" w:rsidRDefault="00161C1F" w:rsidP="006E1A5D">
            <w:pPr>
              <w:pStyle w:val="ListParagraph"/>
              <w:numPr>
                <w:ilvl w:val="0"/>
                <w:numId w:val="2"/>
              </w:numPr>
              <w:ind w:left="360"/>
              <w:rPr>
                <w:rFonts w:ascii="Aptos Narrow" w:hAnsi="Aptos Narrow"/>
                <w:sz w:val="22"/>
                <w:szCs w:val="22"/>
              </w:rPr>
            </w:pPr>
          </w:p>
        </w:tc>
        <w:tc>
          <w:tcPr>
            <w:tcW w:w="515" w:type="pct"/>
          </w:tcPr>
          <w:p w14:paraId="6CC5F7C5" w14:textId="1DC03976" w:rsidR="00161C1F" w:rsidRPr="006E1A5D" w:rsidRDefault="00161C1F" w:rsidP="006E1A5D">
            <w:pPr>
              <w:rPr>
                <w:rFonts w:ascii="Aptos Narrow" w:hAnsi="Aptos Narrow" w:cs="Calibri"/>
                <w:color w:val="000000"/>
                <w:sz w:val="22"/>
                <w:szCs w:val="22"/>
              </w:rPr>
            </w:pPr>
            <w:r w:rsidRPr="006E1A5D">
              <w:rPr>
                <w:rFonts w:ascii="Aptos Narrow" w:hAnsi="Aptos Narrow"/>
                <w:color w:val="000000"/>
                <w:sz w:val="22"/>
                <w:szCs w:val="22"/>
              </w:rPr>
              <w:t>General</w:t>
            </w:r>
          </w:p>
        </w:tc>
        <w:tc>
          <w:tcPr>
            <w:tcW w:w="1244" w:type="pct"/>
          </w:tcPr>
          <w:p w14:paraId="01BF21E7" w14:textId="651EB0C0" w:rsidR="00161C1F" w:rsidRPr="006E1A5D" w:rsidRDefault="00161C1F" w:rsidP="006E1A5D">
            <w:pPr>
              <w:rPr>
                <w:rFonts w:ascii="Aptos Narrow" w:hAnsi="Aptos Narrow"/>
                <w:sz w:val="22"/>
                <w:szCs w:val="22"/>
              </w:rPr>
            </w:pPr>
            <w:r w:rsidRPr="006E1A5D">
              <w:rPr>
                <w:rFonts w:ascii="Aptos Narrow" w:hAnsi="Aptos Narrow"/>
                <w:color w:val="000000"/>
                <w:sz w:val="22"/>
                <w:szCs w:val="22"/>
              </w:rPr>
              <w:t>Additional LA requirement or changes in LA rating</w:t>
            </w:r>
          </w:p>
        </w:tc>
        <w:tc>
          <w:tcPr>
            <w:tcW w:w="2165" w:type="pct"/>
          </w:tcPr>
          <w:p w14:paraId="1C844C99" w14:textId="2E28A6B8" w:rsidR="00161C1F" w:rsidRPr="006E1A5D" w:rsidRDefault="00161C1F" w:rsidP="006E1A5D">
            <w:pPr>
              <w:ind w:left="35"/>
              <w:rPr>
                <w:rFonts w:ascii="Aptos Narrow" w:hAnsi="Aptos Narrow"/>
                <w:sz w:val="22"/>
                <w:szCs w:val="22"/>
              </w:rPr>
            </w:pPr>
            <w:r w:rsidRPr="006E1A5D">
              <w:rPr>
                <w:rFonts w:ascii="Aptos Narrow" w:hAnsi="Aptos Narrow"/>
                <w:color w:val="000000"/>
                <w:sz w:val="22"/>
                <w:szCs w:val="22"/>
              </w:rPr>
              <w:t xml:space="preserve">Please note that no data is provided for the Insulation co-ordination study during the tender stage, and without the study, we cannot decide the additional LA quantity requirement or changes in rating. </w:t>
            </w:r>
            <w:r w:rsidRPr="006E1A5D">
              <w:rPr>
                <w:rFonts w:ascii="Aptos Narrow" w:hAnsi="Aptos Narrow"/>
                <w:color w:val="000000"/>
                <w:sz w:val="22"/>
                <w:szCs w:val="22"/>
              </w:rPr>
              <w:br/>
              <w:t>Therefore, if any additional LA or different rating LA is required during detailed engineering, it shall be supplied by the customer without any cost implication to HYOSUNG.</w:t>
            </w:r>
            <w:r w:rsidRPr="006E1A5D">
              <w:rPr>
                <w:rFonts w:ascii="Aptos Narrow" w:hAnsi="Aptos Narrow"/>
                <w:color w:val="000000"/>
                <w:sz w:val="22"/>
                <w:szCs w:val="22"/>
              </w:rPr>
              <w:br/>
            </w:r>
            <w:r w:rsidRPr="006E1A5D">
              <w:rPr>
                <w:rFonts w:ascii="Aptos Narrow" w:hAnsi="Aptos Narrow"/>
                <w:color w:val="000000"/>
                <w:sz w:val="22"/>
                <w:szCs w:val="22"/>
              </w:rPr>
              <w:br/>
              <w:t>Kindly accept the same.</w:t>
            </w:r>
          </w:p>
        </w:tc>
        <w:tc>
          <w:tcPr>
            <w:tcW w:w="810" w:type="pct"/>
          </w:tcPr>
          <w:p w14:paraId="1A7B4D79" w14:textId="62E2E409" w:rsidR="00161C1F" w:rsidRPr="006E1A5D" w:rsidRDefault="00161C1F" w:rsidP="006E1A5D">
            <w:pPr>
              <w:rPr>
                <w:rFonts w:ascii="Aptos Narrow" w:hAnsi="Aptos Narrow" w:cs="Calibri"/>
                <w:color w:val="000000"/>
                <w:sz w:val="22"/>
                <w:szCs w:val="22"/>
              </w:rPr>
            </w:pPr>
            <w:r w:rsidRPr="006E1A5D">
              <w:rPr>
                <w:rFonts w:ascii="Aptos Narrow" w:hAnsi="Aptos Narrow"/>
                <w:color w:val="000000"/>
                <w:sz w:val="22"/>
                <w:szCs w:val="22"/>
              </w:rPr>
              <w:t>Bidder to quote as per bidding document.</w:t>
            </w:r>
          </w:p>
        </w:tc>
      </w:tr>
      <w:tr w:rsidR="00B74C8B" w:rsidRPr="006E1A5D" w14:paraId="443AF0F4" w14:textId="77777777" w:rsidTr="00B74C8B">
        <w:tc>
          <w:tcPr>
            <w:tcW w:w="266" w:type="pct"/>
          </w:tcPr>
          <w:p w14:paraId="5AD496BF" w14:textId="77777777" w:rsidR="00161C1F" w:rsidRPr="006E1A5D" w:rsidRDefault="00161C1F" w:rsidP="006E1A5D">
            <w:pPr>
              <w:pStyle w:val="ListParagraph"/>
              <w:numPr>
                <w:ilvl w:val="0"/>
                <w:numId w:val="2"/>
              </w:numPr>
              <w:ind w:left="360"/>
              <w:rPr>
                <w:rFonts w:ascii="Aptos Narrow" w:hAnsi="Aptos Narrow"/>
                <w:sz w:val="22"/>
                <w:szCs w:val="22"/>
              </w:rPr>
            </w:pPr>
          </w:p>
        </w:tc>
        <w:tc>
          <w:tcPr>
            <w:tcW w:w="515" w:type="pct"/>
          </w:tcPr>
          <w:p w14:paraId="28A7F86D" w14:textId="72693250" w:rsidR="00161C1F" w:rsidRPr="006E1A5D" w:rsidRDefault="00161C1F" w:rsidP="006E1A5D">
            <w:pPr>
              <w:rPr>
                <w:rFonts w:ascii="Aptos Narrow" w:hAnsi="Aptos Narrow" w:cs="Calibri"/>
                <w:color w:val="000000"/>
                <w:sz w:val="22"/>
                <w:szCs w:val="22"/>
              </w:rPr>
            </w:pPr>
            <w:r w:rsidRPr="006E1A5D">
              <w:rPr>
                <w:rFonts w:ascii="Aptos Narrow" w:hAnsi="Aptos Narrow"/>
                <w:color w:val="000000"/>
                <w:sz w:val="22"/>
                <w:szCs w:val="22"/>
              </w:rPr>
              <w:t>General</w:t>
            </w:r>
          </w:p>
        </w:tc>
        <w:tc>
          <w:tcPr>
            <w:tcW w:w="1244" w:type="pct"/>
          </w:tcPr>
          <w:p w14:paraId="4EF23BAC" w14:textId="656F92CF" w:rsidR="00161C1F" w:rsidRPr="006E1A5D" w:rsidRDefault="00161C1F" w:rsidP="006E1A5D">
            <w:pPr>
              <w:rPr>
                <w:rFonts w:ascii="Aptos Narrow" w:hAnsi="Aptos Narrow"/>
                <w:sz w:val="22"/>
                <w:szCs w:val="22"/>
              </w:rPr>
            </w:pPr>
            <w:r w:rsidRPr="006E1A5D">
              <w:rPr>
                <w:rFonts w:ascii="Aptos Narrow" w:hAnsi="Aptos Narrow"/>
                <w:color w:val="000000"/>
                <w:sz w:val="22"/>
                <w:szCs w:val="22"/>
              </w:rPr>
              <w:t>Requirement of additional Online monitoring system.</w:t>
            </w:r>
          </w:p>
        </w:tc>
        <w:tc>
          <w:tcPr>
            <w:tcW w:w="2165" w:type="pct"/>
          </w:tcPr>
          <w:p w14:paraId="3DE819AA" w14:textId="6890A507" w:rsidR="00161C1F" w:rsidRPr="006E1A5D" w:rsidRDefault="00161C1F" w:rsidP="006E1A5D">
            <w:pPr>
              <w:ind w:left="35"/>
              <w:rPr>
                <w:rFonts w:ascii="Aptos Narrow" w:hAnsi="Aptos Narrow"/>
                <w:sz w:val="22"/>
                <w:szCs w:val="22"/>
              </w:rPr>
            </w:pPr>
            <w:r w:rsidRPr="006E1A5D">
              <w:rPr>
                <w:rFonts w:ascii="Aptos Narrow" w:hAnsi="Aptos Narrow"/>
                <w:color w:val="000000"/>
                <w:sz w:val="22"/>
                <w:szCs w:val="22"/>
              </w:rPr>
              <w:t>Please note that, as this substation is a digital substation, please let us know if there are any special requirements of online monitoring systems for GIS.</w:t>
            </w:r>
          </w:p>
        </w:tc>
        <w:tc>
          <w:tcPr>
            <w:tcW w:w="810" w:type="pct"/>
          </w:tcPr>
          <w:p w14:paraId="0C2D62FB" w14:textId="3C2F28B6" w:rsidR="00161C1F" w:rsidRPr="006E1A5D" w:rsidRDefault="00161C1F" w:rsidP="006E1A5D">
            <w:pPr>
              <w:rPr>
                <w:rFonts w:ascii="Aptos Narrow" w:hAnsi="Aptos Narrow" w:cs="Calibri"/>
                <w:color w:val="000000"/>
                <w:sz w:val="22"/>
                <w:szCs w:val="22"/>
              </w:rPr>
            </w:pPr>
            <w:r w:rsidRPr="006E1A5D">
              <w:rPr>
                <w:rFonts w:ascii="Aptos Narrow" w:hAnsi="Aptos Narrow"/>
                <w:color w:val="000000"/>
                <w:sz w:val="22"/>
                <w:szCs w:val="22"/>
              </w:rPr>
              <w:t xml:space="preserve">Portable partial discharge </w:t>
            </w:r>
            <w:r w:rsidR="0004644E" w:rsidRPr="006E1A5D">
              <w:rPr>
                <w:rFonts w:ascii="Aptos Narrow" w:hAnsi="Aptos Narrow"/>
                <w:color w:val="000000"/>
                <w:sz w:val="22"/>
                <w:szCs w:val="22"/>
              </w:rPr>
              <w:t>monitoring</w:t>
            </w:r>
            <w:r w:rsidRPr="006E1A5D">
              <w:rPr>
                <w:rFonts w:ascii="Aptos Narrow" w:hAnsi="Aptos Narrow"/>
                <w:color w:val="000000"/>
                <w:sz w:val="22"/>
                <w:szCs w:val="22"/>
              </w:rPr>
              <w:t xml:space="preserve"> system is envisaged under present scope. Online monitoring of PD is not envisaged</w:t>
            </w:r>
          </w:p>
        </w:tc>
      </w:tr>
      <w:tr w:rsidR="00B74C8B" w:rsidRPr="006E1A5D" w14:paraId="23A36851" w14:textId="77777777" w:rsidTr="00B74C8B">
        <w:tc>
          <w:tcPr>
            <w:tcW w:w="266" w:type="pct"/>
          </w:tcPr>
          <w:p w14:paraId="52CF7F4B" w14:textId="77777777" w:rsidR="00161C1F" w:rsidRPr="006E1A5D" w:rsidRDefault="00161C1F" w:rsidP="006E1A5D">
            <w:pPr>
              <w:pStyle w:val="ListParagraph"/>
              <w:numPr>
                <w:ilvl w:val="0"/>
                <w:numId w:val="2"/>
              </w:numPr>
              <w:ind w:left="360"/>
              <w:rPr>
                <w:rFonts w:ascii="Aptos Narrow" w:hAnsi="Aptos Narrow"/>
                <w:sz w:val="22"/>
                <w:szCs w:val="22"/>
              </w:rPr>
            </w:pPr>
          </w:p>
        </w:tc>
        <w:tc>
          <w:tcPr>
            <w:tcW w:w="515" w:type="pct"/>
          </w:tcPr>
          <w:p w14:paraId="7D5339A2" w14:textId="48BC2E15" w:rsidR="00161C1F" w:rsidRPr="006E1A5D" w:rsidRDefault="00161C1F" w:rsidP="006E1A5D">
            <w:pPr>
              <w:rPr>
                <w:rFonts w:ascii="Aptos Narrow" w:hAnsi="Aptos Narrow" w:cs="Calibri"/>
                <w:color w:val="000000"/>
                <w:sz w:val="22"/>
                <w:szCs w:val="22"/>
              </w:rPr>
            </w:pPr>
            <w:r w:rsidRPr="006E1A5D">
              <w:rPr>
                <w:rFonts w:ascii="Aptos Narrow" w:hAnsi="Aptos Narrow"/>
                <w:color w:val="000000"/>
                <w:sz w:val="22"/>
                <w:szCs w:val="22"/>
              </w:rPr>
              <w:t>General</w:t>
            </w:r>
          </w:p>
        </w:tc>
        <w:tc>
          <w:tcPr>
            <w:tcW w:w="1244" w:type="pct"/>
          </w:tcPr>
          <w:p w14:paraId="7CD6F070" w14:textId="045FFFF8" w:rsidR="00161C1F" w:rsidRPr="006E1A5D" w:rsidRDefault="00161C1F" w:rsidP="006E1A5D">
            <w:pPr>
              <w:rPr>
                <w:rFonts w:ascii="Aptos Narrow" w:hAnsi="Aptos Narrow"/>
                <w:sz w:val="22"/>
                <w:szCs w:val="22"/>
              </w:rPr>
            </w:pPr>
            <w:r w:rsidRPr="006E1A5D">
              <w:rPr>
                <w:rFonts w:ascii="Aptos Narrow" w:hAnsi="Aptos Narrow"/>
                <w:color w:val="000000"/>
                <w:sz w:val="22"/>
                <w:szCs w:val="22"/>
              </w:rPr>
              <w:t>LCC Size</w:t>
            </w:r>
          </w:p>
        </w:tc>
        <w:tc>
          <w:tcPr>
            <w:tcW w:w="2165" w:type="pct"/>
          </w:tcPr>
          <w:p w14:paraId="5CD2EACD" w14:textId="1017E2A0" w:rsidR="00161C1F" w:rsidRPr="006E1A5D" w:rsidRDefault="00161C1F" w:rsidP="006E1A5D">
            <w:pPr>
              <w:ind w:left="35"/>
              <w:rPr>
                <w:rFonts w:ascii="Aptos Narrow" w:hAnsi="Aptos Narrow"/>
                <w:sz w:val="22"/>
                <w:szCs w:val="22"/>
              </w:rPr>
            </w:pPr>
            <w:r w:rsidRPr="006E1A5D">
              <w:rPr>
                <w:rFonts w:ascii="Aptos Narrow" w:hAnsi="Aptos Narrow"/>
                <w:color w:val="000000"/>
                <w:sz w:val="22"/>
                <w:szCs w:val="22"/>
              </w:rPr>
              <w:t xml:space="preserve">We would like to inform you that, as this Puducherry substation is a digital substation, the MU/SGC, along with hardwiring for interlocking, is required to be placed in the LCC panel. Thus, for Puducherry GIS, LCCs of bigger sizes than the usual </w:t>
            </w:r>
            <w:proofErr w:type="gramStart"/>
            <w:r w:rsidRPr="006E1A5D">
              <w:rPr>
                <w:rFonts w:ascii="Aptos Narrow" w:hAnsi="Aptos Narrow"/>
                <w:color w:val="000000"/>
                <w:sz w:val="22"/>
                <w:szCs w:val="22"/>
              </w:rPr>
              <w:t>are</w:t>
            </w:r>
            <w:proofErr w:type="gramEnd"/>
            <w:r w:rsidRPr="006E1A5D">
              <w:rPr>
                <w:rFonts w:ascii="Aptos Narrow" w:hAnsi="Aptos Narrow"/>
                <w:color w:val="000000"/>
                <w:sz w:val="22"/>
                <w:szCs w:val="22"/>
              </w:rPr>
              <w:t xml:space="preserve"> considered. The usual LCC sizes are as follows:</w:t>
            </w:r>
            <w:r w:rsidRPr="006E1A5D">
              <w:rPr>
                <w:rFonts w:ascii="Aptos Narrow" w:hAnsi="Aptos Narrow"/>
                <w:color w:val="000000"/>
                <w:sz w:val="22"/>
                <w:szCs w:val="22"/>
              </w:rPr>
              <w:br/>
              <w:t xml:space="preserve">Bus coupler bay LCC - 1200mm x 850mm </w:t>
            </w:r>
            <w:r w:rsidRPr="006E1A5D">
              <w:rPr>
                <w:rFonts w:ascii="Aptos Narrow" w:hAnsi="Aptos Narrow"/>
                <w:color w:val="000000"/>
                <w:sz w:val="22"/>
                <w:szCs w:val="22"/>
              </w:rPr>
              <w:br/>
              <w:t>other bay LCC - 800mm X 850mm</w:t>
            </w:r>
            <w:r w:rsidRPr="006E1A5D">
              <w:rPr>
                <w:rFonts w:ascii="Aptos Narrow" w:hAnsi="Aptos Narrow"/>
                <w:color w:val="000000"/>
                <w:sz w:val="22"/>
                <w:szCs w:val="22"/>
              </w:rPr>
              <w:br/>
            </w:r>
            <w:r w:rsidRPr="006E1A5D">
              <w:rPr>
                <w:rFonts w:ascii="Aptos Narrow" w:hAnsi="Aptos Narrow"/>
                <w:color w:val="000000"/>
                <w:sz w:val="22"/>
                <w:szCs w:val="22"/>
              </w:rPr>
              <w:br/>
              <w:t>The sizes of LCC considered for Puducherry GIS are as follows:</w:t>
            </w:r>
            <w:r w:rsidRPr="006E1A5D">
              <w:rPr>
                <w:rFonts w:ascii="Aptos Narrow" w:hAnsi="Aptos Narrow"/>
                <w:color w:val="000000"/>
                <w:sz w:val="22"/>
                <w:szCs w:val="22"/>
              </w:rPr>
              <w:br/>
              <w:t>Bus coupler bay LCC - 1600mm x 850mm</w:t>
            </w:r>
            <w:r w:rsidRPr="006E1A5D">
              <w:rPr>
                <w:rFonts w:ascii="Aptos Narrow" w:hAnsi="Aptos Narrow"/>
                <w:color w:val="000000"/>
                <w:sz w:val="22"/>
                <w:szCs w:val="22"/>
              </w:rPr>
              <w:br/>
              <w:t>other bay LCC - 1600mm x 850mm</w:t>
            </w:r>
            <w:r w:rsidRPr="006E1A5D">
              <w:rPr>
                <w:rFonts w:ascii="Aptos Narrow" w:hAnsi="Aptos Narrow"/>
                <w:color w:val="000000"/>
                <w:sz w:val="22"/>
                <w:szCs w:val="22"/>
              </w:rPr>
              <w:br/>
            </w:r>
            <w:r w:rsidRPr="006E1A5D">
              <w:rPr>
                <w:rFonts w:ascii="Aptos Narrow" w:hAnsi="Aptos Narrow"/>
                <w:color w:val="000000"/>
                <w:sz w:val="22"/>
                <w:szCs w:val="22"/>
              </w:rPr>
              <w:br/>
              <w:t>Therefore, the cost of these LCCs is higher than that of a usual standard 145kV LCC.</w:t>
            </w:r>
            <w:r w:rsidRPr="006E1A5D">
              <w:rPr>
                <w:rFonts w:ascii="Aptos Narrow" w:hAnsi="Aptos Narrow"/>
                <w:color w:val="000000"/>
                <w:sz w:val="22"/>
                <w:szCs w:val="22"/>
              </w:rPr>
              <w:br/>
            </w:r>
            <w:r w:rsidRPr="006E1A5D">
              <w:rPr>
                <w:rFonts w:ascii="Aptos Narrow" w:hAnsi="Aptos Narrow"/>
                <w:color w:val="000000"/>
                <w:sz w:val="22"/>
                <w:szCs w:val="22"/>
              </w:rPr>
              <w:lastRenderedPageBreak/>
              <w:br/>
              <w:t>Kindly confirm the same.</w:t>
            </w:r>
          </w:p>
        </w:tc>
        <w:tc>
          <w:tcPr>
            <w:tcW w:w="810" w:type="pct"/>
          </w:tcPr>
          <w:p w14:paraId="2286ACE4" w14:textId="6B348B09" w:rsidR="00161C1F" w:rsidRPr="006E1A5D" w:rsidRDefault="00161C1F" w:rsidP="006E1A5D">
            <w:pPr>
              <w:rPr>
                <w:rFonts w:ascii="Aptos Narrow" w:hAnsi="Aptos Narrow" w:cs="Calibri"/>
                <w:color w:val="000000"/>
                <w:sz w:val="22"/>
                <w:szCs w:val="22"/>
              </w:rPr>
            </w:pPr>
            <w:r w:rsidRPr="006E1A5D">
              <w:rPr>
                <w:rFonts w:ascii="Aptos Narrow" w:hAnsi="Aptos Narrow"/>
                <w:color w:val="000000"/>
                <w:sz w:val="22"/>
                <w:szCs w:val="22"/>
              </w:rPr>
              <w:lastRenderedPageBreak/>
              <w:t xml:space="preserve">LCC size shall be finalised during detailed engineering based on </w:t>
            </w:r>
            <w:r w:rsidR="0004644E" w:rsidRPr="006E1A5D">
              <w:rPr>
                <w:rFonts w:ascii="Aptos Narrow" w:hAnsi="Aptos Narrow"/>
                <w:color w:val="000000"/>
                <w:sz w:val="22"/>
                <w:szCs w:val="22"/>
              </w:rPr>
              <w:t>requirement</w:t>
            </w:r>
          </w:p>
        </w:tc>
      </w:tr>
      <w:tr w:rsidR="00B74C8B" w:rsidRPr="006E1A5D" w14:paraId="4E04E5E3" w14:textId="77777777" w:rsidTr="00B74C8B">
        <w:tc>
          <w:tcPr>
            <w:tcW w:w="266" w:type="pct"/>
          </w:tcPr>
          <w:p w14:paraId="04380F4A" w14:textId="77777777" w:rsidR="00161C1F" w:rsidRPr="006E1A5D" w:rsidRDefault="00161C1F" w:rsidP="006E1A5D">
            <w:pPr>
              <w:pStyle w:val="ListParagraph"/>
              <w:numPr>
                <w:ilvl w:val="0"/>
                <w:numId w:val="2"/>
              </w:numPr>
              <w:ind w:left="360"/>
              <w:rPr>
                <w:rFonts w:ascii="Aptos Narrow" w:hAnsi="Aptos Narrow"/>
                <w:sz w:val="22"/>
                <w:szCs w:val="22"/>
              </w:rPr>
            </w:pPr>
          </w:p>
        </w:tc>
        <w:tc>
          <w:tcPr>
            <w:tcW w:w="515" w:type="pct"/>
          </w:tcPr>
          <w:p w14:paraId="75AF4F43" w14:textId="7640C1C1" w:rsidR="00161C1F" w:rsidRPr="006E1A5D" w:rsidRDefault="00161C1F" w:rsidP="006E1A5D">
            <w:pPr>
              <w:rPr>
                <w:rFonts w:ascii="Aptos Narrow" w:hAnsi="Aptos Narrow" w:cs="Calibri"/>
                <w:color w:val="000000"/>
                <w:sz w:val="22"/>
                <w:szCs w:val="22"/>
              </w:rPr>
            </w:pPr>
            <w:r w:rsidRPr="006E1A5D">
              <w:rPr>
                <w:rFonts w:ascii="Aptos Narrow" w:hAnsi="Aptos Narrow"/>
                <w:color w:val="000000"/>
                <w:sz w:val="22"/>
                <w:szCs w:val="22"/>
              </w:rPr>
              <w:t>Annexure-</w:t>
            </w:r>
            <w:proofErr w:type="spellStart"/>
            <w:r w:rsidRPr="006E1A5D">
              <w:rPr>
                <w:rFonts w:ascii="Aptos Narrow" w:hAnsi="Aptos Narrow"/>
                <w:color w:val="000000"/>
                <w:sz w:val="22"/>
                <w:szCs w:val="22"/>
              </w:rPr>
              <w:t>II_Specific</w:t>
            </w:r>
            <w:proofErr w:type="spellEnd"/>
            <w:r w:rsidRPr="006E1A5D">
              <w:rPr>
                <w:rFonts w:ascii="Aptos Narrow" w:hAnsi="Aptos Narrow"/>
                <w:color w:val="000000"/>
                <w:sz w:val="22"/>
                <w:szCs w:val="22"/>
              </w:rPr>
              <w:t xml:space="preserve"> Requirement Rev10-part1</w:t>
            </w:r>
          </w:p>
        </w:tc>
        <w:tc>
          <w:tcPr>
            <w:tcW w:w="1244" w:type="pct"/>
          </w:tcPr>
          <w:p w14:paraId="6180C52F" w14:textId="71EB8EBA" w:rsidR="00161C1F" w:rsidRPr="006E1A5D" w:rsidRDefault="00161C1F" w:rsidP="006E1A5D">
            <w:pPr>
              <w:rPr>
                <w:rFonts w:ascii="Aptos Narrow" w:hAnsi="Aptos Narrow"/>
                <w:sz w:val="22"/>
                <w:szCs w:val="22"/>
              </w:rPr>
            </w:pPr>
            <w:r w:rsidRPr="006E1A5D">
              <w:rPr>
                <w:rFonts w:ascii="Aptos Narrow" w:hAnsi="Aptos Narrow"/>
                <w:color w:val="000000"/>
                <w:sz w:val="22"/>
                <w:szCs w:val="22"/>
              </w:rPr>
              <w:t>Type Test validity For GIS LA and SF^ to Air bushing</w:t>
            </w:r>
          </w:p>
        </w:tc>
        <w:tc>
          <w:tcPr>
            <w:tcW w:w="2165" w:type="pct"/>
          </w:tcPr>
          <w:p w14:paraId="2419820E" w14:textId="7F5DC8DF" w:rsidR="00161C1F" w:rsidRPr="006E1A5D" w:rsidRDefault="00161C1F" w:rsidP="006E1A5D">
            <w:pPr>
              <w:ind w:left="35"/>
              <w:rPr>
                <w:rFonts w:ascii="Aptos Narrow" w:hAnsi="Aptos Narrow"/>
                <w:sz w:val="22"/>
                <w:szCs w:val="22"/>
              </w:rPr>
            </w:pPr>
            <w:r w:rsidRPr="006E1A5D">
              <w:rPr>
                <w:rFonts w:ascii="Aptos Narrow" w:hAnsi="Aptos Narrow"/>
                <w:color w:val="000000"/>
                <w:sz w:val="22"/>
                <w:szCs w:val="22"/>
              </w:rPr>
              <w:t xml:space="preserve">Please note that from the reference clause, we are not able to understand whether the LA validity of 10 years is applicable to AIS or GIS type. </w:t>
            </w:r>
            <w:r w:rsidRPr="006E1A5D">
              <w:rPr>
                <w:rFonts w:ascii="Aptos Narrow" w:hAnsi="Aptos Narrow"/>
                <w:color w:val="000000"/>
                <w:sz w:val="22"/>
                <w:szCs w:val="22"/>
              </w:rPr>
              <w:br w:type="page"/>
              <w:t>However, for the Puducherry project, LA is part of indoor GIS, thus, we are considering the same TTR validity of 15 years for LA.</w:t>
            </w:r>
            <w:r w:rsidRPr="006E1A5D">
              <w:rPr>
                <w:rFonts w:ascii="Aptos Narrow" w:hAnsi="Aptos Narrow"/>
                <w:color w:val="000000"/>
                <w:sz w:val="22"/>
                <w:szCs w:val="22"/>
              </w:rPr>
              <w:br w:type="page"/>
            </w:r>
            <w:r w:rsidRPr="006E1A5D">
              <w:rPr>
                <w:rFonts w:ascii="Aptos Narrow" w:hAnsi="Aptos Narrow"/>
                <w:color w:val="000000"/>
                <w:sz w:val="22"/>
                <w:szCs w:val="22"/>
              </w:rPr>
              <w:br w:type="page"/>
              <w:t xml:space="preserve">Also, as SF6 to Air Bushings (GIS bushings) are required, the type test validity of the bushings shall be 15 years same as GIS for Puducherry GIS. </w:t>
            </w:r>
            <w:r w:rsidRPr="006E1A5D">
              <w:rPr>
                <w:rFonts w:ascii="Aptos Narrow" w:hAnsi="Aptos Narrow"/>
                <w:color w:val="000000"/>
                <w:sz w:val="22"/>
                <w:szCs w:val="22"/>
              </w:rPr>
              <w:br w:type="page"/>
              <w:t>Also, our understanding is in line with CEA guidelines.</w:t>
            </w:r>
            <w:r w:rsidRPr="006E1A5D">
              <w:rPr>
                <w:rFonts w:ascii="Aptos Narrow" w:hAnsi="Aptos Narrow"/>
                <w:color w:val="000000"/>
                <w:sz w:val="22"/>
                <w:szCs w:val="22"/>
              </w:rPr>
              <w:br w:type="page"/>
            </w:r>
            <w:r w:rsidRPr="006E1A5D">
              <w:rPr>
                <w:rFonts w:ascii="Aptos Narrow" w:hAnsi="Aptos Narrow"/>
                <w:color w:val="000000"/>
                <w:sz w:val="22"/>
                <w:szCs w:val="22"/>
              </w:rPr>
              <w:br w:type="page"/>
              <w:t>Kindly confirm our understanding.</w:t>
            </w:r>
          </w:p>
        </w:tc>
        <w:tc>
          <w:tcPr>
            <w:tcW w:w="810" w:type="pct"/>
          </w:tcPr>
          <w:p w14:paraId="019F0EBC" w14:textId="2C787EAE" w:rsidR="00161C1F" w:rsidRPr="006E1A5D" w:rsidRDefault="00161C1F" w:rsidP="006E1A5D">
            <w:pPr>
              <w:rPr>
                <w:rFonts w:ascii="Aptos Narrow" w:hAnsi="Aptos Narrow" w:cs="Calibri"/>
                <w:color w:val="000000"/>
                <w:sz w:val="22"/>
                <w:szCs w:val="22"/>
              </w:rPr>
            </w:pPr>
            <w:r w:rsidRPr="006E1A5D">
              <w:rPr>
                <w:rFonts w:ascii="Aptos Narrow" w:hAnsi="Aptos Narrow"/>
                <w:color w:val="000000"/>
                <w:sz w:val="22"/>
                <w:szCs w:val="22"/>
              </w:rPr>
              <w:t xml:space="preserve">Being GIS components, Validity of GIS LA and SF6 to Air bushing shall be considered as 15years as per TS  </w:t>
            </w:r>
          </w:p>
        </w:tc>
      </w:tr>
      <w:tr w:rsidR="00B74C8B" w:rsidRPr="006E1A5D" w14:paraId="6543C17F" w14:textId="77777777" w:rsidTr="00B74C8B">
        <w:tc>
          <w:tcPr>
            <w:tcW w:w="266" w:type="pct"/>
          </w:tcPr>
          <w:p w14:paraId="55D12DE0" w14:textId="77777777" w:rsidR="00891026" w:rsidRPr="006E1A5D" w:rsidRDefault="00891026" w:rsidP="006E1A5D">
            <w:pPr>
              <w:pStyle w:val="ListParagraph"/>
              <w:numPr>
                <w:ilvl w:val="0"/>
                <w:numId w:val="2"/>
              </w:numPr>
              <w:ind w:left="360"/>
              <w:rPr>
                <w:rFonts w:ascii="Aptos Narrow" w:hAnsi="Aptos Narrow"/>
                <w:sz w:val="22"/>
                <w:szCs w:val="22"/>
              </w:rPr>
            </w:pPr>
          </w:p>
        </w:tc>
        <w:tc>
          <w:tcPr>
            <w:tcW w:w="515" w:type="pct"/>
          </w:tcPr>
          <w:p w14:paraId="08D3CE46" w14:textId="77777777" w:rsidR="00EB78BA" w:rsidRPr="006E1A5D" w:rsidRDefault="00EB78BA" w:rsidP="006E1A5D">
            <w:pPr>
              <w:rPr>
                <w:rFonts w:ascii="Aptos Narrow" w:hAnsi="Aptos Narrow" w:cs="Arial"/>
                <w:color w:val="000000"/>
                <w:sz w:val="22"/>
                <w:szCs w:val="22"/>
              </w:rPr>
            </w:pPr>
            <w:r w:rsidRPr="006E1A5D">
              <w:rPr>
                <w:rFonts w:ascii="Aptos Narrow" w:hAnsi="Aptos Narrow" w:cs="Arial"/>
                <w:color w:val="000000"/>
                <w:sz w:val="22"/>
                <w:szCs w:val="22"/>
              </w:rPr>
              <w:t>Model Technical Specification/ 400kV Transformer Specification (up to 400kV class) cl.3.14.3., Page no 7/185</w:t>
            </w:r>
            <w:r w:rsidRPr="006E1A5D">
              <w:rPr>
                <w:rFonts w:ascii="Aptos Narrow" w:hAnsi="Aptos Narrow" w:cs="Arial"/>
                <w:color w:val="000000"/>
                <w:sz w:val="22"/>
                <w:szCs w:val="22"/>
              </w:rPr>
              <w:br/>
              <w:t xml:space="preserve">Volume -II of Bidding Documents </w:t>
            </w:r>
          </w:p>
          <w:p w14:paraId="54D9CBB5" w14:textId="7AC5F554" w:rsidR="00891026" w:rsidRPr="006E1A5D" w:rsidRDefault="00891026" w:rsidP="006E1A5D">
            <w:pPr>
              <w:rPr>
                <w:rFonts w:ascii="Aptos Narrow" w:hAnsi="Aptos Narrow" w:cs="Calibri"/>
                <w:color w:val="000000"/>
                <w:sz w:val="22"/>
                <w:szCs w:val="22"/>
              </w:rPr>
            </w:pPr>
          </w:p>
        </w:tc>
        <w:tc>
          <w:tcPr>
            <w:tcW w:w="1244" w:type="pct"/>
          </w:tcPr>
          <w:p w14:paraId="7AF94BB9" w14:textId="77777777" w:rsidR="00EB78BA" w:rsidRPr="006E1A5D" w:rsidRDefault="00EB78BA" w:rsidP="006E1A5D">
            <w:pPr>
              <w:rPr>
                <w:rFonts w:ascii="Aptos Narrow" w:hAnsi="Aptos Narrow" w:cs="Arial"/>
                <w:color w:val="000000"/>
                <w:sz w:val="22"/>
                <w:szCs w:val="22"/>
              </w:rPr>
            </w:pPr>
            <w:r w:rsidRPr="006E1A5D">
              <w:rPr>
                <w:rFonts w:ascii="Aptos Narrow" w:hAnsi="Aptos Narrow" w:cs="Arial"/>
                <w:color w:val="000000"/>
                <w:sz w:val="22"/>
                <w:szCs w:val="22"/>
              </w:rPr>
              <w:t>Bidder / Manufacturer should have successfully carried out Dynamic Short Circuit Test on any rating of 132 kV or above voltage class transformer as on the originally scheduled date of bid opening and shall enclose the relevant Test Report / Certificate along with bid. In case bidder has not successfully tested 132 kV or above voltage class transformer for Dynamic Short Circuit Test, their bid shall be considered technically non-responsive.</w:t>
            </w:r>
            <w:r w:rsidRPr="006E1A5D">
              <w:rPr>
                <w:rFonts w:ascii="Aptos Narrow" w:hAnsi="Aptos Narrow" w:cs="Arial"/>
                <w:color w:val="000000"/>
                <w:sz w:val="22"/>
                <w:szCs w:val="22"/>
              </w:rPr>
              <w:br/>
              <w:t>The offered transformer should comply the requirement of similarity clause specified in IS 2026 (PART 5) / IEC 60076-5 with respect to short circuit tested transformer.</w:t>
            </w:r>
            <w:r w:rsidRPr="006E1A5D">
              <w:rPr>
                <w:rFonts w:ascii="Aptos Narrow" w:hAnsi="Aptos Narrow" w:cs="Arial"/>
                <w:color w:val="000000"/>
                <w:sz w:val="22"/>
                <w:szCs w:val="22"/>
              </w:rPr>
              <w:br/>
              <w:t>Further, design review of offered transformer shall be carried out based on the design of short circuit tested transformer.</w:t>
            </w:r>
          </w:p>
          <w:p w14:paraId="4268B6B8" w14:textId="27EE447B" w:rsidR="00891026" w:rsidRPr="006E1A5D" w:rsidRDefault="00891026" w:rsidP="006E1A5D">
            <w:pPr>
              <w:rPr>
                <w:rFonts w:ascii="Aptos Narrow" w:hAnsi="Aptos Narrow"/>
                <w:sz w:val="22"/>
                <w:szCs w:val="22"/>
              </w:rPr>
            </w:pPr>
          </w:p>
        </w:tc>
        <w:tc>
          <w:tcPr>
            <w:tcW w:w="2165" w:type="pct"/>
          </w:tcPr>
          <w:p w14:paraId="568C63CA" w14:textId="77777777" w:rsidR="00EB78BA" w:rsidRPr="006E1A5D" w:rsidRDefault="00EB78BA" w:rsidP="006E1A5D">
            <w:pPr>
              <w:rPr>
                <w:rFonts w:ascii="Aptos Narrow" w:hAnsi="Aptos Narrow" w:cs="Arial"/>
                <w:color w:val="000000"/>
                <w:sz w:val="22"/>
                <w:szCs w:val="22"/>
              </w:rPr>
            </w:pPr>
            <w:r w:rsidRPr="006E1A5D">
              <w:rPr>
                <w:rFonts w:ascii="Aptos Narrow" w:hAnsi="Aptos Narrow" w:cs="Arial"/>
                <w:color w:val="000000"/>
                <w:sz w:val="22"/>
                <w:szCs w:val="22"/>
              </w:rPr>
              <w:t xml:space="preserve">Kindly note that we have Dynamic short circuit test report of 31.5 MVA 132/33 kV for PGCIL project conducted in year 2018 and 100% compliance on the above DSC test report as per similarity clause specified in IEC 60076-5 will not be met as per enclosed compliance report for your reference. </w:t>
            </w:r>
            <w:r w:rsidRPr="006E1A5D">
              <w:rPr>
                <w:rFonts w:ascii="Aptos Narrow" w:hAnsi="Aptos Narrow" w:cs="Arial"/>
                <w:color w:val="000000"/>
                <w:sz w:val="22"/>
                <w:szCs w:val="22"/>
              </w:rPr>
              <w:br/>
            </w:r>
            <w:r w:rsidRPr="006E1A5D">
              <w:rPr>
                <w:rFonts w:ascii="Aptos Narrow" w:hAnsi="Aptos Narrow" w:cs="Arial"/>
                <w:color w:val="000000"/>
                <w:sz w:val="22"/>
                <w:szCs w:val="22"/>
              </w:rPr>
              <w:br/>
              <w:t>Further the DSC on offered transformer is not envisaged as most of the parameters are similar. Kindly accept and confirm.</w:t>
            </w:r>
          </w:p>
          <w:p w14:paraId="46369420" w14:textId="78E5EE27" w:rsidR="00891026" w:rsidRPr="006E1A5D" w:rsidRDefault="00891026" w:rsidP="006E1A5D">
            <w:pPr>
              <w:ind w:left="35"/>
              <w:rPr>
                <w:rFonts w:ascii="Aptos Narrow" w:hAnsi="Aptos Narrow"/>
                <w:sz w:val="22"/>
                <w:szCs w:val="22"/>
              </w:rPr>
            </w:pPr>
          </w:p>
        </w:tc>
        <w:tc>
          <w:tcPr>
            <w:tcW w:w="810" w:type="pct"/>
          </w:tcPr>
          <w:p w14:paraId="093FFE58" w14:textId="77777777" w:rsidR="006E1A5D" w:rsidRPr="006E1A5D" w:rsidRDefault="006E1A5D" w:rsidP="006E1A5D">
            <w:pPr>
              <w:rPr>
                <w:rFonts w:ascii="Aptos Narrow" w:hAnsi="Aptos Narrow" w:cs="Calibri"/>
                <w:color w:val="000000"/>
                <w:sz w:val="22"/>
                <w:szCs w:val="22"/>
              </w:rPr>
            </w:pPr>
            <w:r w:rsidRPr="006E1A5D">
              <w:rPr>
                <w:rFonts w:ascii="Aptos Narrow" w:hAnsi="Aptos Narrow" w:cs="Calibri"/>
                <w:color w:val="000000"/>
                <w:sz w:val="22"/>
                <w:szCs w:val="22"/>
              </w:rPr>
              <w:t xml:space="preserve">Bidder to quote as per bidding document. </w:t>
            </w:r>
          </w:p>
          <w:p w14:paraId="36DD5CF4" w14:textId="2CB6B90D" w:rsidR="00891026" w:rsidRPr="006E1A5D" w:rsidRDefault="00891026" w:rsidP="006E1A5D">
            <w:pPr>
              <w:rPr>
                <w:rFonts w:ascii="Aptos Narrow" w:hAnsi="Aptos Narrow" w:cs="Calibri"/>
                <w:color w:val="000000"/>
                <w:sz w:val="22"/>
                <w:szCs w:val="22"/>
              </w:rPr>
            </w:pPr>
          </w:p>
        </w:tc>
      </w:tr>
    </w:tbl>
    <w:p w14:paraId="532760AD" w14:textId="77777777" w:rsidR="0033225E" w:rsidRPr="006E1A5D" w:rsidRDefault="0033225E" w:rsidP="00952A98">
      <w:pPr>
        <w:jc w:val="lowKashida"/>
        <w:rPr>
          <w:rFonts w:ascii="Aptos Narrow" w:hAnsi="Aptos Narrow"/>
          <w:sz w:val="22"/>
          <w:szCs w:val="22"/>
        </w:rPr>
      </w:pPr>
    </w:p>
    <w:sectPr w:rsidR="0033225E" w:rsidRPr="006E1A5D" w:rsidSect="00155055">
      <w:headerReference w:type="default" r:id="rId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FFA8" w14:textId="77777777" w:rsidR="00677092" w:rsidRDefault="00677092" w:rsidP="00155055">
      <w:pPr>
        <w:spacing w:after="0" w:line="240" w:lineRule="auto"/>
      </w:pPr>
      <w:r>
        <w:separator/>
      </w:r>
    </w:p>
  </w:endnote>
  <w:endnote w:type="continuationSeparator" w:id="0">
    <w:p w14:paraId="1D153E23" w14:textId="77777777" w:rsidR="00677092" w:rsidRDefault="00677092" w:rsidP="00155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4F18" w14:textId="029C2E6B" w:rsidR="000B2090" w:rsidRPr="000B2090" w:rsidRDefault="000B2090" w:rsidP="000B2090">
    <w:pPr>
      <w:pStyle w:val="Footer"/>
      <w:jc w:val="right"/>
      <w:rPr>
        <w:b/>
        <w:bCs/>
        <w:sz w:val="18"/>
        <w:szCs w:val="18"/>
      </w:rPr>
    </w:pPr>
    <w:r w:rsidRPr="000B2090">
      <w:rPr>
        <w:b/>
        <w:bCs/>
        <w:sz w:val="18"/>
        <w:szCs w:val="18"/>
      </w:rPr>
      <w:t xml:space="preserve">Page </w:t>
    </w:r>
    <w:r w:rsidRPr="000B2090">
      <w:rPr>
        <w:b/>
        <w:bCs/>
        <w:sz w:val="18"/>
        <w:szCs w:val="18"/>
      </w:rPr>
      <w:fldChar w:fldCharType="begin"/>
    </w:r>
    <w:r w:rsidRPr="000B2090">
      <w:rPr>
        <w:b/>
        <w:bCs/>
        <w:sz w:val="18"/>
        <w:szCs w:val="18"/>
      </w:rPr>
      <w:instrText xml:space="preserve"> PAGE   \* MERGEFORMAT </w:instrText>
    </w:r>
    <w:r w:rsidRPr="000B2090">
      <w:rPr>
        <w:b/>
        <w:bCs/>
        <w:sz w:val="18"/>
        <w:szCs w:val="18"/>
      </w:rPr>
      <w:fldChar w:fldCharType="separate"/>
    </w:r>
    <w:r w:rsidRPr="000B2090">
      <w:rPr>
        <w:b/>
        <w:bCs/>
        <w:noProof/>
        <w:sz w:val="18"/>
        <w:szCs w:val="18"/>
      </w:rPr>
      <w:t>1</w:t>
    </w:r>
    <w:r w:rsidRPr="000B2090">
      <w:rPr>
        <w:b/>
        <w:bCs/>
        <w:sz w:val="18"/>
        <w:szCs w:val="18"/>
      </w:rPr>
      <w:fldChar w:fldCharType="end"/>
    </w:r>
    <w:r w:rsidRPr="000B2090">
      <w:rPr>
        <w:b/>
        <w:bCs/>
        <w:sz w:val="18"/>
        <w:szCs w:val="18"/>
      </w:rPr>
      <w:t xml:space="preserve"> of </w:t>
    </w:r>
    <w:r w:rsidRPr="000B2090">
      <w:rPr>
        <w:b/>
        <w:bCs/>
        <w:sz w:val="18"/>
        <w:szCs w:val="18"/>
      </w:rPr>
      <w:fldChar w:fldCharType="begin"/>
    </w:r>
    <w:r w:rsidRPr="000B2090">
      <w:rPr>
        <w:b/>
        <w:bCs/>
        <w:sz w:val="18"/>
        <w:szCs w:val="18"/>
      </w:rPr>
      <w:instrText xml:space="preserve"> NUMPAGES   \* MERGEFORMAT </w:instrText>
    </w:r>
    <w:r w:rsidRPr="000B2090">
      <w:rPr>
        <w:b/>
        <w:bCs/>
        <w:sz w:val="18"/>
        <w:szCs w:val="18"/>
      </w:rPr>
      <w:fldChar w:fldCharType="separate"/>
    </w:r>
    <w:r w:rsidRPr="000B2090">
      <w:rPr>
        <w:b/>
        <w:bCs/>
        <w:noProof/>
        <w:sz w:val="18"/>
        <w:szCs w:val="18"/>
      </w:rPr>
      <w:t>12</w:t>
    </w:r>
    <w:r w:rsidRPr="000B2090">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8A9D7" w14:textId="77777777" w:rsidR="00677092" w:rsidRDefault="00677092" w:rsidP="00155055">
      <w:pPr>
        <w:spacing w:after="0" w:line="240" w:lineRule="auto"/>
      </w:pPr>
      <w:r>
        <w:separator/>
      </w:r>
    </w:p>
  </w:footnote>
  <w:footnote w:type="continuationSeparator" w:id="0">
    <w:p w14:paraId="5A7BB582" w14:textId="77777777" w:rsidR="00677092" w:rsidRDefault="00677092" w:rsidP="00155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B76E5" w14:textId="79DBA795" w:rsidR="00155055" w:rsidRDefault="00155055" w:rsidP="00C93EFB">
    <w:pPr>
      <w:pStyle w:val="Header"/>
      <w:pBdr>
        <w:bottom w:val="single" w:sz="4" w:space="1" w:color="auto"/>
      </w:pBdr>
      <w:jc w:val="both"/>
      <w:rPr>
        <w:rFonts w:ascii="Aptos Narrow" w:hAnsi="Aptos Narrow"/>
        <w:b/>
        <w:bCs/>
        <w:sz w:val="22"/>
        <w:szCs w:val="22"/>
      </w:rPr>
    </w:pPr>
    <w:r w:rsidRPr="000B2090">
      <w:rPr>
        <w:rFonts w:ascii="Aptos Narrow" w:hAnsi="Aptos Narrow"/>
        <w:b/>
        <w:bCs/>
        <w:sz w:val="22"/>
        <w:szCs w:val="22"/>
      </w:rPr>
      <w:t xml:space="preserve">Clarification no </w:t>
    </w:r>
    <w:r w:rsidR="00881531">
      <w:rPr>
        <w:rFonts w:ascii="Aptos Narrow" w:hAnsi="Aptos Narrow"/>
        <w:b/>
        <w:bCs/>
        <w:sz w:val="22"/>
        <w:szCs w:val="22"/>
      </w:rPr>
      <w:t>6</w:t>
    </w:r>
    <w:r w:rsidR="00C93EFB" w:rsidRPr="000B2090">
      <w:rPr>
        <w:rFonts w:ascii="Aptos Narrow" w:hAnsi="Aptos Narrow"/>
        <w:b/>
        <w:bCs/>
        <w:sz w:val="22"/>
        <w:szCs w:val="22"/>
      </w:rPr>
      <w:t xml:space="preserve"> dated</w:t>
    </w:r>
    <w:r w:rsidRPr="000B2090">
      <w:rPr>
        <w:rFonts w:ascii="Aptos Narrow" w:hAnsi="Aptos Narrow"/>
        <w:b/>
        <w:bCs/>
        <w:sz w:val="22"/>
        <w:szCs w:val="22"/>
      </w:rPr>
      <w:t xml:space="preserve"> </w:t>
    </w:r>
    <w:r w:rsidR="0004644E">
      <w:rPr>
        <w:rFonts w:ascii="Aptos Narrow" w:hAnsi="Aptos Narrow"/>
        <w:b/>
        <w:bCs/>
        <w:sz w:val="22"/>
        <w:szCs w:val="22"/>
      </w:rPr>
      <w:t>29</w:t>
    </w:r>
    <w:r w:rsidR="002A7F10">
      <w:rPr>
        <w:rFonts w:ascii="Aptos Narrow" w:hAnsi="Aptos Narrow"/>
        <w:b/>
        <w:bCs/>
        <w:sz w:val="22"/>
        <w:szCs w:val="22"/>
      </w:rPr>
      <w:t>.05.2</w:t>
    </w:r>
    <w:r w:rsidRPr="000B2090">
      <w:rPr>
        <w:rFonts w:ascii="Aptos Narrow" w:hAnsi="Aptos Narrow"/>
        <w:b/>
        <w:bCs/>
        <w:sz w:val="22"/>
        <w:szCs w:val="22"/>
      </w:rPr>
      <w:t xml:space="preserve">025 to the Bidding Documents for 110kV GIS Substation Package SS 145 for Establishment of a 110/22kV gas Insulated substation at </w:t>
    </w:r>
    <w:proofErr w:type="spellStart"/>
    <w:r w:rsidRPr="000B2090">
      <w:rPr>
        <w:rFonts w:ascii="Aptos Narrow" w:hAnsi="Aptos Narrow"/>
        <w:b/>
        <w:bCs/>
        <w:sz w:val="22"/>
        <w:szCs w:val="22"/>
      </w:rPr>
      <w:t>Lawspet</w:t>
    </w:r>
    <w:proofErr w:type="spellEnd"/>
    <w:r w:rsidRPr="000B2090">
      <w:rPr>
        <w:rFonts w:ascii="Aptos Narrow" w:hAnsi="Aptos Narrow"/>
        <w:b/>
        <w:bCs/>
        <w:sz w:val="22"/>
        <w:szCs w:val="22"/>
      </w:rPr>
      <w:t xml:space="preserve"> in Puducherry with allied works under consultancy services to PED.  Spec No: CC/NT/W-GIS/DOM/A02/25/03858</w:t>
    </w:r>
  </w:p>
  <w:p w14:paraId="3253461D" w14:textId="77777777" w:rsidR="000B2090" w:rsidRPr="000B2090" w:rsidRDefault="000B2090">
    <w:pPr>
      <w:pStyle w:val="Header"/>
      <w:rPr>
        <w:rFonts w:ascii="Aptos Narrow" w:hAnsi="Aptos Narrow"/>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2031"/>
    <w:multiLevelType w:val="hybridMultilevel"/>
    <w:tmpl w:val="3D960E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EFD2CD8"/>
    <w:multiLevelType w:val="hybridMultilevel"/>
    <w:tmpl w:val="1B5E4A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E4A4033"/>
    <w:multiLevelType w:val="hybridMultilevel"/>
    <w:tmpl w:val="4D38B9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6421970">
    <w:abstractNumId w:val="1"/>
  </w:num>
  <w:num w:numId="2" w16cid:durableId="2006396919">
    <w:abstractNumId w:val="2"/>
  </w:num>
  <w:num w:numId="3" w16cid:durableId="1696230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055"/>
    <w:rsid w:val="0000710C"/>
    <w:rsid w:val="00017807"/>
    <w:rsid w:val="000229FE"/>
    <w:rsid w:val="0004644E"/>
    <w:rsid w:val="00072539"/>
    <w:rsid w:val="00082271"/>
    <w:rsid w:val="00083DB9"/>
    <w:rsid w:val="0009124A"/>
    <w:rsid w:val="000916D5"/>
    <w:rsid w:val="000A23E2"/>
    <w:rsid w:val="000A60CD"/>
    <w:rsid w:val="000B2090"/>
    <w:rsid w:val="000C1F37"/>
    <w:rsid w:val="00155055"/>
    <w:rsid w:val="00161C1F"/>
    <w:rsid w:val="001A3A49"/>
    <w:rsid w:val="001A7F16"/>
    <w:rsid w:val="001E05E4"/>
    <w:rsid w:val="00220D52"/>
    <w:rsid w:val="00250458"/>
    <w:rsid w:val="00264D75"/>
    <w:rsid w:val="002866F9"/>
    <w:rsid w:val="002A7F10"/>
    <w:rsid w:val="002D3B3E"/>
    <w:rsid w:val="0033225E"/>
    <w:rsid w:val="0039327B"/>
    <w:rsid w:val="003A18B1"/>
    <w:rsid w:val="003B059C"/>
    <w:rsid w:val="003C0780"/>
    <w:rsid w:val="003D1E6F"/>
    <w:rsid w:val="00405007"/>
    <w:rsid w:val="00411FB4"/>
    <w:rsid w:val="004259E4"/>
    <w:rsid w:val="004570CE"/>
    <w:rsid w:val="00497805"/>
    <w:rsid w:val="004D3BC5"/>
    <w:rsid w:val="004F44B0"/>
    <w:rsid w:val="00502E93"/>
    <w:rsid w:val="0054623F"/>
    <w:rsid w:val="00555E75"/>
    <w:rsid w:val="0058107B"/>
    <w:rsid w:val="005A4ECE"/>
    <w:rsid w:val="005C1443"/>
    <w:rsid w:val="005F7020"/>
    <w:rsid w:val="00677092"/>
    <w:rsid w:val="006D6302"/>
    <w:rsid w:val="006E1A5D"/>
    <w:rsid w:val="007405DB"/>
    <w:rsid w:val="00753409"/>
    <w:rsid w:val="0075480D"/>
    <w:rsid w:val="007A47DA"/>
    <w:rsid w:val="007A7D59"/>
    <w:rsid w:val="007D32A6"/>
    <w:rsid w:val="00801CF6"/>
    <w:rsid w:val="008167D0"/>
    <w:rsid w:val="00832717"/>
    <w:rsid w:val="00853E73"/>
    <w:rsid w:val="00881531"/>
    <w:rsid w:val="00891026"/>
    <w:rsid w:val="008A4CE3"/>
    <w:rsid w:val="008B31D7"/>
    <w:rsid w:val="008C64FB"/>
    <w:rsid w:val="008E56B8"/>
    <w:rsid w:val="008E6359"/>
    <w:rsid w:val="00900591"/>
    <w:rsid w:val="00921764"/>
    <w:rsid w:val="00952A98"/>
    <w:rsid w:val="009856EA"/>
    <w:rsid w:val="00992A7B"/>
    <w:rsid w:val="009C6B81"/>
    <w:rsid w:val="009E7F4F"/>
    <w:rsid w:val="00A34639"/>
    <w:rsid w:val="00A7292B"/>
    <w:rsid w:val="00AA6793"/>
    <w:rsid w:val="00AF4D58"/>
    <w:rsid w:val="00B43F05"/>
    <w:rsid w:val="00B74C8B"/>
    <w:rsid w:val="00B75F46"/>
    <w:rsid w:val="00B8426A"/>
    <w:rsid w:val="00B933FD"/>
    <w:rsid w:val="00B93E81"/>
    <w:rsid w:val="00BA45F6"/>
    <w:rsid w:val="00BB13B2"/>
    <w:rsid w:val="00BE417E"/>
    <w:rsid w:val="00BF41DE"/>
    <w:rsid w:val="00C531BB"/>
    <w:rsid w:val="00C546DB"/>
    <w:rsid w:val="00C55744"/>
    <w:rsid w:val="00C93EFB"/>
    <w:rsid w:val="00CA38E9"/>
    <w:rsid w:val="00CB4891"/>
    <w:rsid w:val="00CF29CA"/>
    <w:rsid w:val="00D07E28"/>
    <w:rsid w:val="00D306E2"/>
    <w:rsid w:val="00D503B6"/>
    <w:rsid w:val="00D564F6"/>
    <w:rsid w:val="00D70242"/>
    <w:rsid w:val="00D83A01"/>
    <w:rsid w:val="00DB158E"/>
    <w:rsid w:val="00DC6FCD"/>
    <w:rsid w:val="00DD352D"/>
    <w:rsid w:val="00E05D51"/>
    <w:rsid w:val="00E5123E"/>
    <w:rsid w:val="00E764B6"/>
    <w:rsid w:val="00EA1F2B"/>
    <w:rsid w:val="00EA7777"/>
    <w:rsid w:val="00EB78BA"/>
    <w:rsid w:val="00EC09DC"/>
    <w:rsid w:val="00EC15B6"/>
    <w:rsid w:val="00EE3945"/>
    <w:rsid w:val="00F02BAE"/>
    <w:rsid w:val="00F37834"/>
    <w:rsid w:val="00F4658F"/>
    <w:rsid w:val="00F57D8E"/>
    <w:rsid w:val="00F67863"/>
    <w:rsid w:val="00F72A61"/>
    <w:rsid w:val="00FE3F1A"/>
    <w:rsid w:val="00FF787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3B22C"/>
  <w15:chartTrackingRefBased/>
  <w15:docId w15:val="{5E9CBCA3-B153-4ED9-A9F7-03FEA472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155055"/>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55055"/>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55055"/>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550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50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50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50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50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50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5055"/>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55055"/>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55055"/>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550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50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50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50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50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5055"/>
    <w:rPr>
      <w:rFonts w:eastAsiaTheme="majorEastAsia" w:cstheme="majorBidi"/>
      <w:color w:val="272727" w:themeColor="text1" w:themeTint="D8"/>
    </w:rPr>
  </w:style>
  <w:style w:type="paragraph" w:styleId="Title">
    <w:name w:val="Title"/>
    <w:basedOn w:val="Normal"/>
    <w:next w:val="Normal"/>
    <w:link w:val="TitleChar"/>
    <w:uiPriority w:val="10"/>
    <w:qFormat/>
    <w:rsid w:val="00155055"/>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55055"/>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55055"/>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55055"/>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55055"/>
    <w:pPr>
      <w:spacing w:before="160"/>
      <w:jc w:val="center"/>
    </w:pPr>
    <w:rPr>
      <w:i/>
      <w:iCs/>
      <w:color w:val="404040" w:themeColor="text1" w:themeTint="BF"/>
    </w:rPr>
  </w:style>
  <w:style w:type="character" w:customStyle="1" w:styleId="QuoteChar">
    <w:name w:val="Quote Char"/>
    <w:basedOn w:val="DefaultParagraphFont"/>
    <w:link w:val="Quote"/>
    <w:uiPriority w:val="29"/>
    <w:rsid w:val="00155055"/>
    <w:rPr>
      <w:rFonts w:cs="Mangal"/>
      <w:i/>
      <w:iCs/>
      <w:color w:val="404040" w:themeColor="text1" w:themeTint="BF"/>
    </w:rPr>
  </w:style>
  <w:style w:type="paragraph" w:styleId="ListParagraph">
    <w:name w:val="List Paragraph"/>
    <w:basedOn w:val="Normal"/>
    <w:uiPriority w:val="34"/>
    <w:qFormat/>
    <w:rsid w:val="00155055"/>
    <w:pPr>
      <w:ind w:left="720"/>
      <w:contextualSpacing/>
    </w:pPr>
  </w:style>
  <w:style w:type="character" w:styleId="IntenseEmphasis">
    <w:name w:val="Intense Emphasis"/>
    <w:basedOn w:val="DefaultParagraphFont"/>
    <w:uiPriority w:val="21"/>
    <w:qFormat/>
    <w:rsid w:val="00155055"/>
    <w:rPr>
      <w:i/>
      <w:iCs/>
      <w:color w:val="0F4761" w:themeColor="accent1" w:themeShade="BF"/>
    </w:rPr>
  </w:style>
  <w:style w:type="paragraph" w:styleId="IntenseQuote">
    <w:name w:val="Intense Quote"/>
    <w:basedOn w:val="Normal"/>
    <w:next w:val="Normal"/>
    <w:link w:val="IntenseQuoteChar"/>
    <w:uiPriority w:val="30"/>
    <w:qFormat/>
    <w:rsid w:val="00155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5055"/>
    <w:rPr>
      <w:rFonts w:cs="Mangal"/>
      <w:i/>
      <w:iCs/>
      <w:color w:val="0F4761" w:themeColor="accent1" w:themeShade="BF"/>
    </w:rPr>
  </w:style>
  <w:style w:type="character" w:styleId="IntenseReference">
    <w:name w:val="Intense Reference"/>
    <w:basedOn w:val="DefaultParagraphFont"/>
    <w:uiPriority w:val="32"/>
    <w:qFormat/>
    <w:rsid w:val="00155055"/>
    <w:rPr>
      <w:b/>
      <w:bCs/>
      <w:smallCaps/>
      <w:color w:val="0F4761" w:themeColor="accent1" w:themeShade="BF"/>
      <w:spacing w:val="5"/>
    </w:rPr>
  </w:style>
  <w:style w:type="paragraph" w:styleId="Header">
    <w:name w:val="header"/>
    <w:basedOn w:val="Normal"/>
    <w:link w:val="HeaderChar"/>
    <w:uiPriority w:val="99"/>
    <w:unhideWhenUsed/>
    <w:rsid w:val="001550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5055"/>
    <w:rPr>
      <w:rFonts w:cs="Mangal"/>
    </w:rPr>
  </w:style>
  <w:style w:type="paragraph" w:styleId="Footer">
    <w:name w:val="footer"/>
    <w:basedOn w:val="Normal"/>
    <w:link w:val="FooterChar"/>
    <w:uiPriority w:val="99"/>
    <w:unhideWhenUsed/>
    <w:rsid w:val="001550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5055"/>
    <w:rPr>
      <w:rFonts w:cs="Mangal"/>
    </w:rPr>
  </w:style>
  <w:style w:type="table" w:styleId="TableGrid">
    <w:name w:val="Table Grid"/>
    <w:basedOn w:val="TableNormal"/>
    <w:uiPriority w:val="39"/>
    <w:rsid w:val="00155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289">
      <w:bodyDiv w:val="1"/>
      <w:marLeft w:val="0"/>
      <w:marRight w:val="0"/>
      <w:marTop w:val="0"/>
      <w:marBottom w:val="0"/>
      <w:divBdr>
        <w:top w:val="none" w:sz="0" w:space="0" w:color="auto"/>
        <w:left w:val="none" w:sz="0" w:space="0" w:color="auto"/>
        <w:bottom w:val="none" w:sz="0" w:space="0" w:color="auto"/>
        <w:right w:val="none" w:sz="0" w:space="0" w:color="auto"/>
      </w:divBdr>
    </w:div>
    <w:div w:id="12267809">
      <w:bodyDiv w:val="1"/>
      <w:marLeft w:val="0"/>
      <w:marRight w:val="0"/>
      <w:marTop w:val="0"/>
      <w:marBottom w:val="0"/>
      <w:divBdr>
        <w:top w:val="none" w:sz="0" w:space="0" w:color="auto"/>
        <w:left w:val="none" w:sz="0" w:space="0" w:color="auto"/>
        <w:bottom w:val="none" w:sz="0" w:space="0" w:color="auto"/>
        <w:right w:val="none" w:sz="0" w:space="0" w:color="auto"/>
      </w:divBdr>
    </w:div>
    <w:div w:id="65880565">
      <w:bodyDiv w:val="1"/>
      <w:marLeft w:val="0"/>
      <w:marRight w:val="0"/>
      <w:marTop w:val="0"/>
      <w:marBottom w:val="0"/>
      <w:divBdr>
        <w:top w:val="none" w:sz="0" w:space="0" w:color="auto"/>
        <w:left w:val="none" w:sz="0" w:space="0" w:color="auto"/>
        <w:bottom w:val="none" w:sz="0" w:space="0" w:color="auto"/>
        <w:right w:val="none" w:sz="0" w:space="0" w:color="auto"/>
      </w:divBdr>
    </w:div>
    <w:div w:id="147675571">
      <w:bodyDiv w:val="1"/>
      <w:marLeft w:val="0"/>
      <w:marRight w:val="0"/>
      <w:marTop w:val="0"/>
      <w:marBottom w:val="0"/>
      <w:divBdr>
        <w:top w:val="none" w:sz="0" w:space="0" w:color="auto"/>
        <w:left w:val="none" w:sz="0" w:space="0" w:color="auto"/>
        <w:bottom w:val="none" w:sz="0" w:space="0" w:color="auto"/>
        <w:right w:val="none" w:sz="0" w:space="0" w:color="auto"/>
      </w:divBdr>
    </w:div>
    <w:div w:id="166292891">
      <w:bodyDiv w:val="1"/>
      <w:marLeft w:val="0"/>
      <w:marRight w:val="0"/>
      <w:marTop w:val="0"/>
      <w:marBottom w:val="0"/>
      <w:divBdr>
        <w:top w:val="none" w:sz="0" w:space="0" w:color="auto"/>
        <w:left w:val="none" w:sz="0" w:space="0" w:color="auto"/>
        <w:bottom w:val="none" w:sz="0" w:space="0" w:color="auto"/>
        <w:right w:val="none" w:sz="0" w:space="0" w:color="auto"/>
      </w:divBdr>
    </w:div>
    <w:div w:id="350575706">
      <w:bodyDiv w:val="1"/>
      <w:marLeft w:val="0"/>
      <w:marRight w:val="0"/>
      <w:marTop w:val="0"/>
      <w:marBottom w:val="0"/>
      <w:divBdr>
        <w:top w:val="none" w:sz="0" w:space="0" w:color="auto"/>
        <w:left w:val="none" w:sz="0" w:space="0" w:color="auto"/>
        <w:bottom w:val="none" w:sz="0" w:space="0" w:color="auto"/>
        <w:right w:val="none" w:sz="0" w:space="0" w:color="auto"/>
      </w:divBdr>
    </w:div>
    <w:div w:id="362052471">
      <w:bodyDiv w:val="1"/>
      <w:marLeft w:val="0"/>
      <w:marRight w:val="0"/>
      <w:marTop w:val="0"/>
      <w:marBottom w:val="0"/>
      <w:divBdr>
        <w:top w:val="none" w:sz="0" w:space="0" w:color="auto"/>
        <w:left w:val="none" w:sz="0" w:space="0" w:color="auto"/>
        <w:bottom w:val="none" w:sz="0" w:space="0" w:color="auto"/>
        <w:right w:val="none" w:sz="0" w:space="0" w:color="auto"/>
      </w:divBdr>
    </w:div>
    <w:div w:id="404029930">
      <w:bodyDiv w:val="1"/>
      <w:marLeft w:val="0"/>
      <w:marRight w:val="0"/>
      <w:marTop w:val="0"/>
      <w:marBottom w:val="0"/>
      <w:divBdr>
        <w:top w:val="none" w:sz="0" w:space="0" w:color="auto"/>
        <w:left w:val="none" w:sz="0" w:space="0" w:color="auto"/>
        <w:bottom w:val="none" w:sz="0" w:space="0" w:color="auto"/>
        <w:right w:val="none" w:sz="0" w:space="0" w:color="auto"/>
      </w:divBdr>
    </w:div>
    <w:div w:id="414788550">
      <w:bodyDiv w:val="1"/>
      <w:marLeft w:val="0"/>
      <w:marRight w:val="0"/>
      <w:marTop w:val="0"/>
      <w:marBottom w:val="0"/>
      <w:divBdr>
        <w:top w:val="none" w:sz="0" w:space="0" w:color="auto"/>
        <w:left w:val="none" w:sz="0" w:space="0" w:color="auto"/>
        <w:bottom w:val="none" w:sz="0" w:space="0" w:color="auto"/>
        <w:right w:val="none" w:sz="0" w:space="0" w:color="auto"/>
      </w:divBdr>
    </w:div>
    <w:div w:id="442727221">
      <w:bodyDiv w:val="1"/>
      <w:marLeft w:val="0"/>
      <w:marRight w:val="0"/>
      <w:marTop w:val="0"/>
      <w:marBottom w:val="0"/>
      <w:divBdr>
        <w:top w:val="none" w:sz="0" w:space="0" w:color="auto"/>
        <w:left w:val="none" w:sz="0" w:space="0" w:color="auto"/>
        <w:bottom w:val="none" w:sz="0" w:space="0" w:color="auto"/>
        <w:right w:val="none" w:sz="0" w:space="0" w:color="auto"/>
      </w:divBdr>
    </w:div>
    <w:div w:id="447817407">
      <w:bodyDiv w:val="1"/>
      <w:marLeft w:val="0"/>
      <w:marRight w:val="0"/>
      <w:marTop w:val="0"/>
      <w:marBottom w:val="0"/>
      <w:divBdr>
        <w:top w:val="none" w:sz="0" w:space="0" w:color="auto"/>
        <w:left w:val="none" w:sz="0" w:space="0" w:color="auto"/>
        <w:bottom w:val="none" w:sz="0" w:space="0" w:color="auto"/>
        <w:right w:val="none" w:sz="0" w:space="0" w:color="auto"/>
      </w:divBdr>
    </w:div>
    <w:div w:id="486555084">
      <w:bodyDiv w:val="1"/>
      <w:marLeft w:val="0"/>
      <w:marRight w:val="0"/>
      <w:marTop w:val="0"/>
      <w:marBottom w:val="0"/>
      <w:divBdr>
        <w:top w:val="none" w:sz="0" w:space="0" w:color="auto"/>
        <w:left w:val="none" w:sz="0" w:space="0" w:color="auto"/>
        <w:bottom w:val="none" w:sz="0" w:space="0" w:color="auto"/>
        <w:right w:val="none" w:sz="0" w:space="0" w:color="auto"/>
      </w:divBdr>
    </w:div>
    <w:div w:id="511602879">
      <w:bodyDiv w:val="1"/>
      <w:marLeft w:val="0"/>
      <w:marRight w:val="0"/>
      <w:marTop w:val="0"/>
      <w:marBottom w:val="0"/>
      <w:divBdr>
        <w:top w:val="none" w:sz="0" w:space="0" w:color="auto"/>
        <w:left w:val="none" w:sz="0" w:space="0" w:color="auto"/>
        <w:bottom w:val="none" w:sz="0" w:space="0" w:color="auto"/>
        <w:right w:val="none" w:sz="0" w:space="0" w:color="auto"/>
      </w:divBdr>
    </w:div>
    <w:div w:id="565457846">
      <w:bodyDiv w:val="1"/>
      <w:marLeft w:val="0"/>
      <w:marRight w:val="0"/>
      <w:marTop w:val="0"/>
      <w:marBottom w:val="0"/>
      <w:divBdr>
        <w:top w:val="none" w:sz="0" w:space="0" w:color="auto"/>
        <w:left w:val="none" w:sz="0" w:space="0" w:color="auto"/>
        <w:bottom w:val="none" w:sz="0" w:space="0" w:color="auto"/>
        <w:right w:val="none" w:sz="0" w:space="0" w:color="auto"/>
      </w:divBdr>
    </w:div>
    <w:div w:id="674646005">
      <w:bodyDiv w:val="1"/>
      <w:marLeft w:val="0"/>
      <w:marRight w:val="0"/>
      <w:marTop w:val="0"/>
      <w:marBottom w:val="0"/>
      <w:divBdr>
        <w:top w:val="none" w:sz="0" w:space="0" w:color="auto"/>
        <w:left w:val="none" w:sz="0" w:space="0" w:color="auto"/>
        <w:bottom w:val="none" w:sz="0" w:space="0" w:color="auto"/>
        <w:right w:val="none" w:sz="0" w:space="0" w:color="auto"/>
      </w:divBdr>
    </w:div>
    <w:div w:id="731317923">
      <w:bodyDiv w:val="1"/>
      <w:marLeft w:val="0"/>
      <w:marRight w:val="0"/>
      <w:marTop w:val="0"/>
      <w:marBottom w:val="0"/>
      <w:divBdr>
        <w:top w:val="none" w:sz="0" w:space="0" w:color="auto"/>
        <w:left w:val="none" w:sz="0" w:space="0" w:color="auto"/>
        <w:bottom w:val="none" w:sz="0" w:space="0" w:color="auto"/>
        <w:right w:val="none" w:sz="0" w:space="0" w:color="auto"/>
      </w:divBdr>
    </w:div>
    <w:div w:id="782843855">
      <w:bodyDiv w:val="1"/>
      <w:marLeft w:val="0"/>
      <w:marRight w:val="0"/>
      <w:marTop w:val="0"/>
      <w:marBottom w:val="0"/>
      <w:divBdr>
        <w:top w:val="none" w:sz="0" w:space="0" w:color="auto"/>
        <w:left w:val="none" w:sz="0" w:space="0" w:color="auto"/>
        <w:bottom w:val="none" w:sz="0" w:space="0" w:color="auto"/>
        <w:right w:val="none" w:sz="0" w:space="0" w:color="auto"/>
      </w:divBdr>
    </w:div>
    <w:div w:id="836115987">
      <w:bodyDiv w:val="1"/>
      <w:marLeft w:val="0"/>
      <w:marRight w:val="0"/>
      <w:marTop w:val="0"/>
      <w:marBottom w:val="0"/>
      <w:divBdr>
        <w:top w:val="none" w:sz="0" w:space="0" w:color="auto"/>
        <w:left w:val="none" w:sz="0" w:space="0" w:color="auto"/>
        <w:bottom w:val="none" w:sz="0" w:space="0" w:color="auto"/>
        <w:right w:val="none" w:sz="0" w:space="0" w:color="auto"/>
      </w:divBdr>
    </w:div>
    <w:div w:id="883643414">
      <w:bodyDiv w:val="1"/>
      <w:marLeft w:val="0"/>
      <w:marRight w:val="0"/>
      <w:marTop w:val="0"/>
      <w:marBottom w:val="0"/>
      <w:divBdr>
        <w:top w:val="none" w:sz="0" w:space="0" w:color="auto"/>
        <w:left w:val="none" w:sz="0" w:space="0" w:color="auto"/>
        <w:bottom w:val="none" w:sz="0" w:space="0" w:color="auto"/>
        <w:right w:val="none" w:sz="0" w:space="0" w:color="auto"/>
      </w:divBdr>
    </w:div>
    <w:div w:id="884485167">
      <w:bodyDiv w:val="1"/>
      <w:marLeft w:val="0"/>
      <w:marRight w:val="0"/>
      <w:marTop w:val="0"/>
      <w:marBottom w:val="0"/>
      <w:divBdr>
        <w:top w:val="none" w:sz="0" w:space="0" w:color="auto"/>
        <w:left w:val="none" w:sz="0" w:space="0" w:color="auto"/>
        <w:bottom w:val="none" w:sz="0" w:space="0" w:color="auto"/>
        <w:right w:val="none" w:sz="0" w:space="0" w:color="auto"/>
      </w:divBdr>
    </w:div>
    <w:div w:id="1072003081">
      <w:bodyDiv w:val="1"/>
      <w:marLeft w:val="0"/>
      <w:marRight w:val="0"/>
      <w:marTop w:val="0"/>
      <w:marBottom w:val="0"/>
      <w:divBdr>
        <w:top w:val="none" w:sz="0" w:space="0" w:color="auto"/>
        <w:left w:val="none" w:sz="0" w:space="0" w:color="auto"/>
        <w:bottom w:val="none" w:sz="0" w:space="0" w:color="auto"/>
        <w:right w:val="none" w:sz="0" w:space="0" w:color="auto"/>
      </w:divBdr>
    </w:div>
    <w:div w:id="1145970325">
      <w:bodyDiv w:val="1"/>
      <w:marLeft w:val="0"/>
      <w:marRight w:val="0"/>
      <w:marTop w:val="0"/>
      <w:marBottom w:val="0"/>
      <w:divBdr>
        <w:top w:val="none" w:sz="0" w:space="0" w:color="auto"/>
        <w:left w:val="none" w:sz="0" w:space="0" w:color="auto"/>
        <w:bottom w:val="none" w:sz="0" w:space="0" w:color="auto"/>
        <w:right w:val="none" w:sz="0" w:space="0" w:color="auto"/>
      </w:divBdr>
    </w:div>
    <w:div w:id="1183402826">
      <w:bodyDiv w:val="1"/>
      <w:marLeft w:val="0"/>
      <w:marRight w:val="0"/>
      <w:marTop w:val="0"/>
      <w:marBottom w:val="0"/>
      <w:divBdr>
        <w:top w:val="none" w:sz="0" w:space="0" w:color="auto"/>
        <w:left w:val="none" w:sz="0" w:space="0" w:color="auto"/>
        <w:bottom w:val="none" w:sz="0" w:space="0" w:color="auto"/>
        <w:right w:val="none" w:sz="0" w:space="0" w:color="auto"/>
      </w:divBdr>
    </w:div>
    <w:div w:id="1242637432">
      <w:bodyDiv w:val="1"/>
      <w:marLeft w:val="0"/>
      <w:marRight w:val="0"/>
      <w:marTop w:val="0"/>
      <w:marBottom w:val="0"/>
      <w:divBdr>
        <w:top w:val="none" w:sz="0" w:space="0" w:color="auto"/>
        <w:left w:val="none" w:sz="0" w:space="0" w:color="auto"/>
        <w:bottom w:val="none" w:sz="0" w:space="0" w:color="auto"/>
        <w:right w:val="none" w:sz="0" w:space="0" w:color="auto"/>
      </w:divBdr>
    </w:div>
    <w:div w:id="1243832701">
      <w:bodyDiv w:val="1"/>
      <w:marLeft w:val="0"/>
      <w:marRight w:val="0"/>
      <w:marTop w:val="0"/>
      <w:marBottom w:val="0"/>
      <w:divBdr>
        <w:top w:val="none" w:sz="0" w:space="0" w:color="auto"/>
        <w:left w:val="none" w:sz="0" w:space="0" w:color="auto"/>
        <w:bottom w:val="none" w:sz="0" w:space="0" w:color="auto"/>
        <w:right w:val="none" w:sz="0" w:space="0" w:color="auto"/>
      </w:divBdr>
    </w:div>
    <w:div w:id="1310553759">
      <w:bodyDiv w:val="1"/>
      <w:marLeft w:val="0"/>
      <w:marRight w:val="0"/>
      <w:marTop w:val="0"/>
      <w:marBottom w:val="0"/>
      <w:divBdr>
        <w:top w:val="none" w:sz="0" w:space="0" w:color="auto"/>
        <w:left w:val="none" w:sz="0" w:space="0" w:color="auto"/>
        <w:bottom w:val="none" w:sz="0" w:space="0" w:color="auto"/>
        <w:right w:val="none" w:sz="0" w:space="0" w:color="auto"/>
      </w:divBdr>
    </w:div>
    <w:div w:id="1365254728">
      <w:bodyDiv w:val="1"/>
      <w:marLeft w:val="0"/>
      <w:marRight w:val="0"/>
      <w:marTop w:val="0"/>
      <w:marBottom w:val="0"/>
      <w:divBdr>
        <w:top w:val="none" w:sz="0" w:space="0" w:color="auto"/>
        <w:left w:val="none" w:sz="0" w:space="0" w:color="auto"/>
        <w:bottom w:val="none" w:sz="0" w:space="0" w:color="auto"/>
        <w:right w:val="none" w:sz="0" w:space="0" w:color="auto"/>
      </w:divBdr>
    </w:div>
    <w:div w:id="1410537057">
      <w:bodyDiv w:val="1"/>
      <w:marLeft w:val="0"/>
      <w:marRight w:val="0"/>
      <w:marTop w:val="0"/>
      <w:marBottom w:val="0"/>
      <w:divBdr>
        <w:top w:val="none" w:sz="0" w:space="0" w:color="auto"/>
        <w:left w:val="none" w:sz="0" w:space="0" w:color="auto"/>
        <w:bottom w:val="none" w:sz="0" w:space="0" w:color="auto"/>
        <w:right w:val="none" w:sz="0" w:space="0" w:color="auto"/>
      </w:divBdr>
    </w:div>
    <w:div w:id="1495415432">
      <w:bodyDiv w:val="1"/>
      <w:marLeft w:val="0"/>
      <w:marRight w:val="0"/>
      <w:marTop w:val="0"/>
      <w:marBottom w:val="0"/>
      <w:divBdr>
        <w:top w:val="none" w:sz="0" w:space="0" w:color="auto"/>
        <w:left w:val="none" w:sz="0" w:space="0" w:color="auto"/>
        <w:bottom w:val="none" w:sz="0" w:space="0" w:color="auto"/>
        <w:right w:val="none" w:sz="0" w:space="0" w:color="auto"/>
      </w:divBdr>
    </w:div>
    <w:div w:id="1499728777">
      <w:bodyDiv w:val="1"/>
      <w:marLeft w:val="0"/>
      <w:marRight w:val="0"/>
      <w:marTop w:val="0"/>
      <w:marBottom w:val="0"/>
      <w:divBdr>
        <w:top w:val="none" w:sz="0" w:space="0" w:color="auto"/>
        <w:left w:val="none" w:sz="0" w:space="0" w:color="auto"/>
        <w:bottom w:val="none" w:sz="0" w:space="0" w:color="auto"/>
        <w:right w:val="none" w:sz="0" w:space="0" w:color="auto"/>
      </w:divBdr>
    </w:div>
    <w:div w:id="1535463324">
      <w:bodyDiv w:val="1"/>
      <w:marLeft w:val="0"/>
      <w:marRight w:val="0"/>
      <w:marTop w:val="0"/>
      <w:marBottom w:val="0"/>
      <w:divBdr>
        <w:top w:val="none" w:sz="0" w:space="0" w:color="auto"/>
        <w:left w:val="none" w:sz="0" w:space="0" w:color="auto"/>
        <w:bottom w:val="none" w:sz="0" w:space="0" w:color="auto"/>
        <w:right w:val="none" w:sz="0" w:space="0" w:color="auto"/>
      </w:divBdr>
    </w:div>
    <w:div w:id="1630554955">
      <w:bodyDiv w:val="1"/>
      <w:marLeft w:val="0"/>
      <w:marRight w:val="0"/>
      <w:marTop w:val="0"/>
      <w:marBottom w:val="0"/>
      <w:divBdr>
        <w:top w:val="none" w:sz="0" w:space="0" w:color="auto"/>
        <w:left w:val="none" w:sz="0" w:space="0" w:color="auto"/>
        <w:bottom w:val="none" w:sz="0" w:space="0" w:color="auto"/>
        <w:right w:val="none" w:sz="0" w:space="0" w:color="auto"/>
      </w:divBdr>
    </w:div>
    <w:div w:id="1644382006">
      <w:bodyDiv w:val="1"/>
      <w:marLeft w:val="0"/>
      <w:marRight w:val="0"/>
      <w:marTop w:val="0"/>
      <w:marBottom w:val="0"/>
      <w:divBdr>
        <w:top w:val="none" w:sz="0" w:space="0" w:color="auto"/>
        <w:left w:val="none" w:sz="0" w:space="0" w:color="auto"/>
        <w:bottom w:val="none" w:sz="0" w:space="0" w:color="auto"/>
        <w:right w:val="none" w:sz="0" w:space="0" w:color="auto"/>
      </w:divBdr>
    </w:div>
    <w:div w:id="1672830895">
      <w:bodyDiv w:val="1"/>
      <w:marLeft w:val="0"/>
      <w:marRight w:val="0"/>
      <w:marTop w:val="0"/>
      <w:marBottom w:val="0"/>
      <w:divBdr>
        <w:top w:val="none" w:sz="0" w:space="0" w:color="auto"/>
        <w:left w:val="none" w:sz="0" w:space="0" w:color="auto"/>
        <w:bottom w:val="none" w:sz="0" w:space="0" w:color="auto"/>
        <w:right w:val="none" w:sz="0" w:space="0" w:color="auto"/>
      </w:divBdr>
    </w:div>
    <w:div w:id="1748771923">
      <w:bodyDiv w:val="1"/>
      <w:marLeft w:val="0"/>
      <w:marRight w:val="0"/>
      <w:marTop w:val="0"/>
      <w:marBottom w:val="0"/>
      <w:divBdr>
        <w:top w:val="none" w:sz="0" w:space="0" w:color="auto"/>
        <w:left w:val="none" w:sz="0" w:space="0" w:color="auto"/>
        <w:bottom w:val="none" w:sz="0" w:space="0" w:color="auto"/>
        <w:right w:val="none" w:sz="0" w:space="0" w:color="auto"/>
      </w:divBdr>
    </w:div>
    <w:div w:id="1781100606">
      <w:bodyDiv w:val="1"/>
      <w:marLeft w:val="0"/>
      <w:marRight w:val="0"/>
      <w:marTop w:val="0"/>
      <w:marBottom w:val="0"/>
      <w:divBdr>
        <w:top w:val="none" w:sz="0" w:space="0" w:color="auto"/>
        <w:left w:val="none" w:sz="0" w:space="0" w:color="auto"/>
        <w:bottom w:val="none" w:sz="0" w:space="0" w:color="auto"/>
        <w:right w:val="none" w:sz="0" w:space="0" w:color="auto"/>
      </w:divBdr>
    </w:div>
    <w:div w:id="1787190134">
      <w:bodyDiv w:val="1"/>
      <w:marLeft w:val="0"/>
      <w:marRight w:val="0"/>
      <w:marTop w:val="0"/>
      <w:marBottom w:val="0"/>
      <w:divBdr>
        <w:top w:val="none" w:sz="0" w:space="0" w:color="auto"/>
        <w:left w:val="none" w:sz="0" w:space="0" w:color="auto"/>
        <w:bottom w:val="none" w:sz="0" w:space="0" w:color="auto"/>
        <w:right w:val="none" w:sz="0" w:space="0" w:color="auto"/>
      </w:divBdr>
    </w:div>
    <w:div w:id="1890262636">
      <w:bodyDiv w:val="1"/>
      <w:marLeft w:val="0"/>
      <w:marRight w:val="0"/>
      <w:marTop w:val="0"/>
      <w:marBottom w:val="0"/>
      <w:divBdr>
        <w:top w:val="none" w:sz="0" w:space="0" w:color="auto"/>
        <w:left w:val="none" w:sz="0" w:space="0" w:color="auto"/>
        <w:bottom w:val="none" w:sz="0" w:space="0" w:color="auto"/>
        <w:right w:val="none" w:sz="0" w:space="0" w:color="auto"/>
      </w:divBdr>
    </w:div>
    <w:div w:id="1917083378">
      <w:bodyDiv w:val="1"/>
      <w:marLeft w:val="0"/>
      <w:marRight w:val="0"/>
      <w:marTop w:val="0"/>
      <w:marBottom w:val="0"/>
      <w:divBdr>
        <w:top w:val="none" w:sz="0" w:space="0" w:color="auto"/>
        <w:left w:val="none" w:sz="0" w:space="0" w:color="auto"/>
        <w:bottom w:val="none" w:sz="0" w:space="0" w:color="auto"/>
        <w:right w:val="none" w:sz="0" w:space="0" w:color="auto"/>
      </w:divBdr>
    </w:div>
    <w:div w:id="1937665360">
      <w:bodyDiv w:val="1"/>
      <w:marLeft w:val="0"/>
      <w:marRight w:val="0"/>
      <w:marTop w:val="0"/>
      <w:marBottom w:val="0"/>
      <w:divBdr>
        <w:top w:val="none" w:sz="0" w:space="0" w:color="auto"/>
        <w:left w:val="none" w:sz="0" w:space="0" w:color="auto"/>
        <w:bottom w:val="none" w:sz="0" w:space="0" w:color="auto"/>
        <w:right w:val="none" w:sz="0" w:space="0" w:color="auto"/>
      </w:divBdr>
    </w:div>
    <w:div w:id="1992755663">
      <w:bodyDiv w:val="1"/>
      <w:marLeft w:val="0"/>
      <w:marRight w:val="0"/>
      <w:marTop w:val="0"/>
      <w:marBottom w:val="0"/>
      <w:divBdr>
        <w:top w:val="none" w:sz="0" w:space="0" w:color="auto"/>
        <w:left w:val="none" w:sz="0" w:space="0" w:color="auto"/>
        <w:bottom w:val="none" w:sz="0" w:space="0" w:color="auto"/>
        <w:right w:val="none" w:sz="0" w:space="0" w:color="auto"/>
      </w:divBdr>
    </w:div>
    <w:div w:id="2013528418">
      <w:bodyDiv w:val="1"/>
      <w:marLeft w:val="0"/>
      <w:marRight w:val="0"/>
      <w:marTop w:val="0"/>
      <w:marBottom w:val="0"/>
      <w:divBdr>
        <w:top w:val="none" w:sz="0" w:space="0" w:color="auto"/>
        <w:left w:val="none" w:sz="0" w:space="0" w:color="auto"/>
        <w:bottom w:val="none" w:sz="0" w:space="0" w:color="auto"/>
        <w:right w:val="none" w:sz="0" w:space="0" w:color="auto"/>
      </w:divBdr>
    </w:div>
    <w:div w:id="2046101027">
      <w:bodyDiv w:val="1"/>
      <w:marLeft w:val="0"/>
      <w:marRight w:val="0"/>
      <w:marTop w:val="0"/>
      <w:marBottom w:val="0"/>
      <w:divBdr>
        <w:top w:val="none" w:sz="0" w:space="0" w:color="auto"/>
        <w:left w:val="none" w:sz="0" w:space="0" w:color="auto"/>
        <w:bottom w:val="none" w:sz="0" w:space="0" w:color="auto"/>
        <w:right w:val="none" w:sz="0" w:space="0" w:color="auto"/>
      </w:divBdr>
    </w:div>
    <w:div w:id="2076929252">
      <w:bodyDiv w:val="1"/>
      <w:marLeft w:val="0"/>
      <w:marRight w:val="0"/>
      <w:marTop w:val="0"/>
      <w:marBottom w:val="0"/>
      <w:divBdr>
        <w:top w:val="none" w:sz="0" w:space="0" w:color="auto"/>
        <w:left w:val="none" w:sz="0" w:space="0" w:color="auto"/>
        <w:bottom w:val="none" w:sz="0" w:space="0" w:color="auto"/>
        <w:right w:val="none" w:sz="0" w:space="0" w:color="auto"/>
      </w:divBdr>
    </w:div>
    <w:div w:id="2077242808">
      <w:bodyDiv w:val="1"/>
      <w:marLeft w:val="0"/>
      <w:marRight w:val="0"/>
      <w:marTop w:val="0"/>
      <w:marBottom w:val="0"/>
      <w:divBdr>
        <w:top w:val="none" w:sz="0" w:space="0" w:color="auto"/>
        <w:left w:val="none" w:sz="0" w:space="0" w:color="auto"/>
        <w:bottom w:val="none" w:sz="0" w:space="0" w:color="auto"/>
        <w:right w:val="none" w:sz="0" w:space="0" w:color="auto"/>
      </w:divBdr>
    </w:div>
    <w:div w:id="2109545130">
      <w:bodyDiv w:val="1"/>
      <w:marLeft w:val="0"/>
      <w:marRight w:val="0"/>
      <w:marTop w:val="0"/>
      <w:marBottom w:val="0"/>
      <w:divBdr>
        <w:top w:val="none" w:sz="0" w:space="0" w:color="auto"/>
        <w:left w:val="none" w:sz="0" w:space="0" w:color="auto"/>
        <w:bottom w:val="none" w:sz="0" w:space="0" w:color="auto"/>
        <w:right w:val="none" w:sz="0" w:space="0" w:color="auto"/>
      </w:divBdr>
    </w:div>
    <w:div w:id="213860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2</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94</cp:revision>
  <dcterms:created xsi:type="dcterms:W3CDTF">2025-05-02T04:35:00Z</dcterms:created>
  <dcterms:modified xsi:type="dcterms:W3CDTF">2025-05-29T12:03:00Z</dcterms:modified>
</cp:coreProperties>
</file>